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1F97" w14:textId="62808BA6" w:rsidR="003D093E" w:rsidRPr="0038009E" w:rsidRDefault="008001DB" w:rsidP="00135C45">
      <w:pPr>
        <w:jc w:val="both"/>
        <w:rPr>
          <w:rFonts w:ascii="Garamond" w:hAnsi="Garamond"/>
          <w:b/>
          <w:bCs/>
          <w:sz w:val="28"/>
          <w:szCs w:val="28"/>
        </w:rPr>
      </w:pPr>
      <w:bookmarkStart w:id="0" w:name="_Hlk192792388"/>
      <w:r w:rsidRPr="0038009E">
        <w:rPr>
          <w:rFonts w:ascii="Garamond" w:hAnsi="Garamond"/>
          <w:b/>
          <w:bCs/>
          <w:sz w:val="28"/>
          <w:szCs w:val="28"/>
        </w:rPr>
        <w:t>PUBLIC CONTRACTS REVIEW BOARD</w:t>
      </w:r>
    </w:p>
    <w:p w14:paraId="2BD8DBBE" w14:textId="77777777" w:rsidR="008001DB" w:rsidRPr="00583338" w:rsidRDefault="008001DB" w:rsidP="00135C45">
      <w:pPr>
        <w:jc w:val="both"/>
        <w:rPr>
          <w:rFonts w:ascii="Garamond" w:hAnsi="Garamond"/>
        </w:rPr>
      </w:pPr>
    </w:p>
    <w:p w14:paraId="3972D37A" w14:textId="183DCE1F" w:rsidR="008001DB" w:rsidRPr="00583338" w:rsidRDefault="008001DB" w:rsidP="00135C45">
      <w:pPr>
        <w:jc w:val="both"/>
        <w:rPr>
          <w:rFonts w:ascii="Garamond" w:hAnsi="Garamond"/>
          <w:b/>
          <w:bCs/>
          <w:sz w:val="26"/>
          <w:szCs w:val="26"/>
        </w:rPr>
      </w:pPr>
      <w:r w:rsidRPr="00583338">
        <w:rPr>
          <w:rFonts w:ascii="Garamond" w:hAnsi="Garamond"/>
          <w:b/>
          <w:bCs/>
          <w:sz w:val="26"/>
          <w:szCs w:val="26"/>
        </w:rPr>
        <w:t xml:space="preserve">Case </w:t>
      </w:r>
      <w:r w:rsidR="00592DA2" w:rsidRPr="00583338">
        <w:rPr>
          <w:rFonts w:ascii="Garamond" w:hAnsi="Garamond"/>
          <w:b/>
          <w:bCs/>
          <w:sz w:val="26"/>
          <w:szCs w:val="26"/>
        </w:rPr>
        <w:t>21</w:t>
      </w:r>
      <w:r w:rsidR="00122F6B" w:rsidRPr="00583338">
        <w:rPr>
          <w:rFonts w:ascii="Garamond" w:hAnsi="Garamond"/>
          <w:b/>
          <w:bCs/>
          <w:sz w:val="26"/>
          <w:szCs w:val="26"/>
        </w:rPr>
        <w:t>51</w:t>
      </w:r>
      <w:r w:rsidRPr="00583338">
        <w:rPr>
          <w:rFonts w:ascii="Garamond" w:hAnsi="Garamond"/>
          <w:b/>
          <w:bCs/>
          <w:sz w:val="26"/>
          <w:szCs w:val="26"/>
        </w:rPr>
        <w:t xml:space="preserve"> –</w:t>
      </w:r>
      <w:r w:rsidR="00BB73DA" w:rsidRPr="00583338">
        <w:rPr>
          <w:rFonts w:ascii="Garamond" w:hAnsi="Garamond"/>
          <w:b/>
          <w:bCs/>
          <w:sz w:val="26"/>
          <w:szCs w:val="26"/>
        </w:rPr>
        <w:t xml:space="preserve"> </w:t>
      </w:r>
      <w:proofErr w:type="spellStart"/>
      <w:r w:rsidR="00583338" w:rsidRPr="00583338">
        <w:rPr>
          <w:rFonts w:ascii="Garamond" w:hAnsi="Garamond"/>
          <w:b/>
          <w:bCs/>
          <w:sz w:val="26"/>
          <w:szCs w:val="26"/>
        </w:rPr>
        <w:t>KLMsd</w:t>
      </w:r>
      <w:proofErr w:type="spellEnd"/>
      <w:r w:rsidR="00344FE9" w:rsidRPr="00583338">
        <w:rPr>
          <w:rFonts w:ascii="Garamond" w:hAnsi="Garamond"/>
          <w:b/>
          <w:bCs/>
          <w:sz w:val="26"/>
          <w:szCs w:val="26"/>
        </w:rPr>
        <w:t>/</w:t>
      </w:r>
      <w:r w:rsidR="00583338" w:rsidRPr="00583338">
        <w:rPr>
          <w:rFonts w:ascii="Garamond" w:hAnsi="Garamond"/>
          <w:b/>
          <w:bCs/>
          <w:sz w:val="26"/>
          <w:szCs w:val="26"/>
        </w:rPr>
        <w:t>TDR/0</w:t>
      </w:r>
      <w:r w:rsidR="00EB657B" w:rsidRPr="00583338">
        <w:rPr>
          <w:rFonts w:ascii="Garamond" w:hAnsi="Garamond"/>
          <w:b/>
          <w:bCs/>
          <w:sz w:val="26"/>
          <w:szCs w:val="26"/>
        </w:rPr>
        <w:t>5</w:t>
      </w:r>
      <w:r w:rsidR="00344FE9" w:rsidRPr="00583338">
        <w:rPr>
          <w:rFonts w:ascii="Garamond" w:hAnsi="Garamond"/>
          <w:b/>
          <w:bCs/>
          <w:sz w:val="26"/>
          <w:szCs w:val="26"/>
        </w:rPr>
        <w:t>/</w:t>
      </w:r>
      <w:r w:rsidR="00583338" w:rsidRPr="00583338">
        <w:rPr>
          <w:rFonts w:ascii="Garamond" w:hAnsi="Garamond"/>
          <w:b/>
          <w:bCs/>
          <w:sz w:val="26"/>
          <w:szCs w:val="26"/>
        </w:rPr>
        <w:t>202</w:t>
      </w:r>
      <w:r w:rsidR="00013CBD">
        <w:rPr>
          <w:rFonts w:ascii="Garamond" w:hAnsi="Garamond"/>
          <w:b/>
          <w:bCs/>
          <w:sz w:val="26"/>
          <w:szCs w:val="26"/>
        </w:rPr>
        <w:t>4</w:t>
      </w:r>
      <w:r w:rsidR="00BB6E01" w:rsidRPr="00583338">
        <w:rPr>
          <w:rFonts w:ascii="Garamond" w:hAnsi="Garamond"/>
          <w:b/>
          <w:bCs/>
          <w:sz w:val="26"/>
          <w:szCs w:val="26"/>
        </w:rPr>
        <w:t xml:space="preserve"> – </w:t>
      </w:r>
      <w:r w:rsidR="00583338" w:rsidRPr="00583338">
        <w:rPr>
          <w:rFonts w:ascii="Garamond" w:hAnsi="Garamond"/>
          <w:b/>
          <w:bCs/>
          <w:sz w:val="26"/>
          <w:szCs w:val="26"/>
        </w:rPr>
        <w:t>Tender for the Embellishment of Pjazza Victor Denaro in Msida, including environmentally friendly paint, soil improvers, plants and trees and automatic irrigation systems</w:t>
      </w:r>
    </w:p>
    <w:p w14:paraId="0527C5CB" w14:textId="77777777" w:rsidR="008001DB" w:rsidRPr="00BB6E01" w:rsidRDefault="008001DB" w:rsidP="00135C45">
      <w:pPr>
        <w:jc w:val="both"/>
        <w:rPr>
          <w:rFonts w:ascii="Garamond" w:hAnsi="Garamond"/>
          <w:highlight w:val="yellow"/>
        </w:rPr>
      </w:pPr>
    </w:p>
    <w:p w14:paraId="61DBA162" w14:textId="27188A1A" w:rsidR="008001DB" w:rsidRPr="0038009E" w:rsidRDefault="009819DF" w:rsidP="00135C45">
      <w:pPr>
        <w:jc w:val="both"/>
        <w:rPr>
          <w:rFonts w:ascii="Garamond" w:hAnsi="Garamond"/>
          <w:b/>
          <w:sz w:val="24"/>
          <w:szCs w:val="24"/>
        </w:rPr>
      </w:pPr>
      <w:r>
        <w:rPr>
          <w:rFonts w:ascii="Garamond" w:hAnsi="Garamond"/>
          <w:b/>
          <w:bCs/>
          <w:sz w:val="24"/>
          <w:szCs w:val="24"/>
        </w:rPr>
        <w:t>8</w:t>
      </w:r>
      <w:r w:rsidRPr="009819DF">
        <w:rPr>
          <w:rFonts w:ascii="Garamond" w:hAnsi="Garamond"/>
          <w:b/>
          <w:bCs/>
          <w:sz w:val="24"/>
          <w:szCs w:val="24"/>
          <w:vertAlign w:val="superscript"/>
        </w:rPr>
        <w:t>th</w:t>
      </w:r>
      <w:r>
        <w:rPr>
          <w:rFonts w:ascii="Garamond" w:hAnsi="Garamond"/>
          <w:b/>
          <w:bCs/>
          <w:sz w:val="24"/>
          <w:szCs w:val="24"/>
        </w:rPr>
        <w:t xml:space="preserve"> </w:t>
      </w:r>
      <w:r w:rsidR="006F643D">
        <w:rPr>
          <w:rFonts w:ascii="Garamond" w:hAnsi="Garamond"/>
          <w:b/>
          <w:bCs/>
          <w:sz w:val="24"/>
          <w:szCs w:val="24"/>
        </w:rPr>
        <w:t>October</w:t>
      </w:r>
      <w:r w:rsidR="008001DB" w:rsidRPr="0057622B">
        <w:rPr>
          <w:rFonts w:ascii="Garamond" w:hAnsi="Garamond"/>
          <w:b/>
          <w:bCs/>
          <w:sz w:val="24"/>
          <w:szCs w:val="24"/>
        </w:rPr>
        <w:t xml:space="preserve"> 202</w:t>
      </w:r>
      <w:r w:rsidR="00CD0570" w:rsidRPr="0057622B">
        <w:rPr>
          <w:rFonts w:ascii="Garamond" w:hAnsi="Garamond"/>
          <w:b/>
          <w:bCs/>
          <w:sz w:val="24"/>
          <w:szCs w:val="24"/>
        </w:rPr>
        <w:t>5</w:t>
      </w:r>
    </w:p>
    <w:p w14:paraId="41CB25FC" w14:textId="77777777" w:rsidR="008001DB" w:rsidRPr="0038009E" w:rsidRDefault="008001DB" w:rsidP="00135C45">
      <w:pPr>
        <w:jc w:val="both"/>
        <w:rPr>
          <w:rFonts w:ascii="Garamond" w:hAnsi="Garamond"/>
          <w:highlight w:val="yellow"/>
        </w:rPr>
      </w:pPr>
    </w:p>
    <w:p w14:paraId="297D1847" w14:textId="77777777" w:rsidR="008001DB" w:rsidRPr="0038009E" w:rsidRDefault="008001DB" w:rsidP="00135C45">
      <w:pPr>
        <w:jc w:val="both"/>
        <w:rPr>
          <w:rFonts w:ascii="Garamond" w:hAnsi="Garamond"/>
        </w:rPr>
      </w:pPr>
      <w:r w:rsidRPr="0038009E">
        <w:rPr>
          <w:rFonts w:ascii="Garamond" w:hAnsi="Garamond"/>
        </w:rPr>
        <w:t>The Board,</w:t>
      </w:r>
    </w:p>
    <w:p w14:paraId="3F192C91" w14:textId="4EDB5168" w:rsidR="008001DB" w:rsidRPr="00917C00" w:rsidRDefault="008001DB" w:rsidP="00135C45">
      <w:pPr>
        <w:tabs>
          <w:tab w:val="left" w:pos="709"/>
        </w:tabs>
        <w:ind w:left="709"/>
        <w:jc w:val="both"/>
        <w:rPr>
          <w:rFonts w:ascii="Garamond" w:hAnsi="Garamond"/>
        </w:rPr>
      </w:pPr>
      <w:r w:rsidRPr="00917C00">
        <w:rPr>
          <w:rFonts w:ascii="Garamond" w:hAnsi="Garamond"/>
        </w:rPr>
        <w:tab/>
      </w:r>
      <w:r w:rsidR="00B870D5" w:rsidRPr="00917C00">
        <w:rPr>
          <w:rFonts w:ascii="Garamond" w:hAnsi="Garamond"/>
        </w:rPr>
        <w:t xml:space="preserve">Having noted the letter of objection filed </w:t>
      </w:r>
      <w:r w:rsidRPr="00917C00">
        <w:rPr>
          <w:rFonts w:ascii="Garamond" w:hAnsi="Garamond"/>
        </w:rPr>
        <w:t xml:space="preserve">by </w:t>
      </w:r>
      <w:r w:rsidR="006F643D">
        <w:rPr>
          <w:rFonts w:ascii="Garamond" w:hAnsi="Garamond"/>
        </w:rPr>
        <w:t>Dr Adrian Delia and Dr Zack Esmail</w:t>
      </w:r>
      <w:r w:rsidR="005B33F6">
        <w:rPr>
          <w:rFonts w:ascii="Garamond" w:hAnsi="Garamond"/>
        </w:rPr>
        <w:t xml:space="preserve"> acting for </w:t>
      </w:r>
      <w:proofErr w:type="spellStart"/>
      <w:r w:rsidR="006F643D">
        <w:rPr>
          <w:rFonts w:ascii="Garamond" w:hAnsi="Garamond"/>
        </w:rPr>
        <w:t>Projekte</w:t>
      </w:r>
      <w:proofErr w:type="spellEnd"/>
      <w:r w:rsidR="006F643D">
        <w:rPr>
          <w:rFonts w:ascii="Garamond" w:hAnsi="Garamond"/>
        </w:rPr>
        <w:t xml:space="preserve"> Global Limited</w:t>
      </w:r>
      <w:r w:rsidRPr="00917C00">
        <w:rPr>
          <w:rFonts w:ascii="Garamond" w:hAnsi="Garamond"/>
        </w:rPr>
        <w:t xml:space="preserve">, (hereinafter referred to as the </w:t>
      </w:r>
      <w:r w:rsidR="00A658FE">
        <w:rPr>
          <w:rFonts w:ascii="Garamond" w:hAnsi="Garamond"/>
        </w:rPr>
        <w:t>A</w:t>
      </w:r>
      <w:r w:rsidRPr="00917C00">
        <w:rPr>
          <w:rFonts w:ascii="Garamond" w:hAnsi="Garamond"/>
        </w:rPr>
        <w:t xml:space="preserve">ppellant) </w:t>
      </w:r>
      <w:r w:rsidR="002F2B87" w:rsidRPr="00917C00">
        <w:rPr>
          <w:rFonts w:ascii="Garamond" w:hAnsi="Garamond"/>
        </w:rPr>
        <w:t xml:space="preserve">filed </w:t>
      </w:r>
      <w:r w:rsidRPr="00917C00">
        <w:rPr>
          <w:rFonts w:ascii="Garamond" w:hAnsi="Garamond"/>
        </w:rPr>
        <w:t xml:space="preserve">on the </w:t>
      </w:r>
      <w:r w:rsidR="006F643D">
        <w:rPr>
          <w:rFonts w:ascii="Garamond" w:hAnsi="Garamond"/>
        </w:rPr>
        <w:t>13</w:t>
      </w:r>
      <w:r w:rsidR="00EB657B">
        <w:rPr>
          <w:rFonts w:ascii="Garamond" w:hAnsi="Garamond"/>
          <w:vertAlign w:val="superscript"/>
        </w:rPr>
        <w:t>th</w:t>
      </w:r>
      <w:r w:rsidR="00592DA2">
        <w:rPr>
          <w:rFonts w:ascii="Garamond" w:hAnsi="Garamond"/>
        </w:rPr>
        <w:t xml:space="preserve"> </w:t>
      </w:r>
      <w:r w:rsidR="00EB657B">
        <w:rPr>
          <w:rFonts w:ascii="Garamond" w:hAnsi="Garamond"/>
        </w:rPr>
        <w:t>J</w:t>
      </w:r>
      <w:r w:rsidR="006F643D">
        <w:rPr>
          <w:rFonts w:ascii="Garamond" w:hAnsi="Garamond"/>
        </w:rPr>
        <w:t>anuary</w:t>
      </w:r>
      <w:r w:rsidR="00592DA2">
        <w:rPr>
          <w:rFonts w:ascii="Garamond" w:hAnsi="Garamond"/>
        </w:rPr>
        <w:t xml:space="preserve"> 2025</w:t>
      </w:r>
      <w:r w:rsidRPr="00917C00">
        <w:rPr>
          <w:rFonts w:ascii="Garamond" w:hAnsi="Garamond"/>
        </w:rPr>
        <w:t>;</w:t>
      </w:r>
    </w:p>
    <w:p w14:paraId="43CF892C" w14:textId="10DA5634" w:rsidR="00BA4080" w:rsidRDefault="00BA4080" w:rsidP="00BA4080">
      <w:pPr>
        <w:tabs>
          <w:tab w:val="left" w:pos="709"/>
        </w:tabs>
        <w:ind w:left="709"/>
        <w:jc w:val="both"/>
        <w:rPr>
          <w:rFonts w:ascii="Garamond" w:hAnsi="Garamond"/>
        </w:rPr>
      </w:pPr>
      <w:r w:rsidRPr="00917C00">
        <w:rPr>
          <w:rFonts w:ascii="Garamond" w:hAnsi="Garamond"/>
        </w:rPr>
        <w:t xml:space="preserve">Having also noted the letter of reply filed by </w:t>
      </w:r>
      <w:r w:rsidR="00344FE9">
        <w:rPr>
          <w:rFonts w:ascii="Garamond" w:hAnsi="Garamond"/>
        </w:rPr>
        <w:t xml:space="preserve">Dr </w:t>
      </w:r>
      <w:r w:rsidR="006F643D">
        <w:rPr>
          <w:rFonts w:ascii="Garamond" w:hAnsi="Garamond"/>
        </w:rPr>
        <w:t xml:space="preserve">Jonathan Thompson and Dr Kristina Friggieri on behalf of </w:t>
      </w:r>
      <w:proofErr w:type="spellStart"/>
      <w:r w:rsidR="006F643D">
        <w:rPr>
          <w:rFonts w:ascii="Garamond" w:hAnsi="Garamond"/>
        </w:rPr>
        <w:t>InariLaw</w:t>
      </w:r>
      <w:proofErr w:type="spellEnd"/>
      <w:r w:rsidR="00344FE9">
        <w:rPr>
          <w:rFonts w:ascii="Garamond" w:hAnsi="Garamond"/>
        </w:rPr>
        <w:t xml:space="preserve"> </w:t>
      </w:r>
      <w:r w:rsidRPr="00917C00">
        <w:rPr>
          <w:rFonts w:ascii="Garamond" w:hAnsi="Garamond"/>
        </w:rPr>
        <w:t xml:space="preserve">acting for </w:t>
      </w:r>
      <w:r w:rsidR="006F643D">
        <w:rPr>
          <w:rFonts w:ascii="Garamond" w:hAnsi="Garamond"/>
        </w:rPr>
        <w:t>Project Green and Msida Local Council</w:t>
      </w:r>
      <w:r w:rsidR="00BB6E01">
        <w:rPr>
          <w:rFonts w:ascii="Garamond" w:hAnsi="Garamond"/>
        </w:rPr>
        <w:t xml:space="preserve"> </w:t>
      </w:r>
      <w:r w:rsidRPr="00917C00">
        <w:rPr>
          <w:rFonts w:ascii="Garamond" w:hAnsi="Garamond"/>
        </w:rPr>
        <w:t xml:space="preserve">(hereinafter referred to as the Contracting Authority) filed on the </w:t>
      </w:r>
      <w:r w:rsidR="006F643D">
        <w:rPr>
          <w:rFonts w:ascii="Garamond" w:hAnsi="Garamond"/>
        </w:rPr>
        <w:t>17</w:t>
      </w:r>
      <w:r w:rsidR="006F643D">
        <w:rPr>
          <w:rFonts w:ascii="Garamond" w:hAnsi="Garamond"/>
          <w:vertAlign w:val="superscript"/>
        </w:rPr>
        <w:t>th</w:t>
      </w:r>
      <w:r w:rsidR="00592DA2">
        <w:rPr>
          <w:rFonts w:ascii="Garamond" w:hAnsi="Garamond"/>
        </w:rPr>
        <w:t xml:space="preserve"> </w:t>
      </w:r>
      <w:r w:rsidR="00344FE9">
        <w:rPr>
          <w:rFonts w:ascii="Garamond" w:hAnsi="Garamond"/>
        </w:rPr>
        <w:t>J</w:t>
      </w:r>
      <w:r w:rsidR="006F643D">
        <w:rPr>
          <w:rFonts w:ascii="Garamond" w:hAnsi="Garamond"/>
        </w:rPr>
        <w:t>anuary</w:t>
      </w:r>
      <w:r w:rsidR="00592DA2">
        <w:rPr>
          <w:rFonts w:ascii="Garamond" w:hAnsi="Garamond"/>
        </w:rPr>
        <w:t xml:space="preserve"> 2025</w:t>
      </w:r>
      <w:r w:rsidRPr="00917C00">
        <w:rPr>
          <w:rFonts w:ascii="Garamond" w:hAnsi="Garamond"/>
        </w:rPr>
        <w:t>;</w:t>
      </w:r>
    </w:p>
    <w:p w14:paraId="08DD0EB5" w14:textId="1A332E8F" w:rsidR="006F643D" w:rsidRPr="00344FE9" w:rsidRDefault="006F643D" w:rsidP="006F643D">
      <w:pPr>
        <w:tabs>
          <w:tab w:val="left" w:pos="709"/>
        </w:tabs>
        <w:ind w:left="709"/>
        <w:jc w:val="both"/>
        <w:rPr>
          <w:rFonts w:ascii="Garamond" w:hAnsi="Garamond"/>
        </w:rPr>
      </w:pPr>
      <w:r w:rsidRPr="00344FE9">
        <w:rPr>
          <w:rFonts w:ascii="Garamond" w:hAnsi="Garamond"/>
        </w:rPr>
        <w:t xml:space="preserve">Having heard and evaluated the testimony of the witness Mr </w:t>
      </w:r>
      <w:r>
        <w:rPr>
          <w:rFonts w:ascii="Garamond" w:hAnsi="Garamond"/>
        </w:rPr>
        <w:t xml:space="preserve">Keith Anthony Buttigieg </w:t>
      </w:r>
      <w:r w:rsidRPr="00344FE9">
        <w:rPr>
          <w:rFonts w:ascii="Garamond" w:hAnsi="Garamond"/>
        </w:rPr>
        <w:t>(Representative of</w:t>
      </w:r>
      <w:r>
        <w:rPr>
          <w:rFonts w:ascii="Garamond" w:hAnsi="Garamond"/>
        </w:rPr>
        <w:t xml:space="preserve"> Project Green</w:t>
      </w:r>
      <w:r w:rsidRPr="00344FE9">
        <w:rPr>
          <w:rFonts w:ascii="Garamond" w:hAnsi="Garamond"/>
        </w:rPr>
        <w:t xml:space="preserve">) as summoned by </w:t>
      </w:r>
      <w:r w:rsidRPr="006F643D">
        <w:rPr>
          <w:rFonts w:ascii="Garamond" w:hAnsi="Garamond"/>
        </w:rPr>
        <w:t>Dr Adrian Delia</w:t>
      </w:r>
      <w:r w:rsidRPr="00344FE9">
        <w:rPr>
          <w:rFonts w:ascii="Garamond" w:hAnsi="Garamond"/>
        </w:rPr>
        <w:t xml:space="preserve"> acting for the Appellant.</w:t>
      </w:r>
    </w:p>
    <w:p w14:paraId="37B8DDCD" w14:textId="6783AEA4" w:rsidR="006F643D" w:rsidRPr="00344FE9" w:rsidRDefault="006F643D" w:rsidP="006F643D">
      <w:pPr>
        <w:tabs>
          <w:tab w:val="left" w:pos="709"/>
        </w:tabs>
        <w:ind w:left="709"/>
        <w:jc w:val="both"/>
        <w:rPr>
          <w:rFonts w:ascii="Garamond" w:hAnsi="Garamond"/>
        </w:rPr>
      </w:pPr>
      <w:r w:rsidRPr="00344FE9">
        <w:rPr>
          <w:rFonts w:ascii="Garamond" w:hAnsi="Garamond"/>
        </w:rPr>
        <w:t xml:space="preserve">Having heard and evaluated the testimony of the witness Mr </w:t>
      </w:r>
      <w:r>
        <w:rPr>
          <w:rFonts w:ascii="Garamond" w:hAnsi="Garamond"/>
        </w:rPr>
        <w:t xml:space="preserve">Desmond Mizzi </w:t>
      </w:r>
      <w:r w:rsidRPr="00344FE9">
        <w:rPr>
          <w:rFonts w:ascii="Garamond" w:hAnsi="Garamond"/>
        </w:rPr>
        <w:t>(Representative of</w:t>
      </w:r>
      <w:r>
        <w:rPr>
          <w:rFonts w:ascii="Garamond" w:hAnsi="Garamond"/>
        </w:rPr>
        <w:t xml:space="preserve"> </w:t>
      </w:r>
      <w:proofErr w:type="spellStart"/>
      <w:r>
        <w:rPr>
          <w:rFonts w:ascii="Garamond" w:hAnsi="Garamond"/>
        </w:rPr>
        <w:t>Projekte</w:t>
      </w:r>
      <w:proofErr w:type="spellEnd"/>
      <w:r>
        <w:rPr>
          <w:rFonts w:ascii="Garamond" w:hAnsi="Garamond"/>
        </w:rPr>
        <w:t xml:space="preserve"> Global Limited</w:t>
      </w:r>
      <w:r w:rsidRPr="00344FE9">
        <w:rPr>
          <w:rFonts w:ascii="Garamond" w:hAnsi="Garamond"/>
        </w:rPr>
        <w:t xml:space="preserve">) as summoned by </w:t>
      </w:r>
      <w:r w:rsidRPr="006F643D">
        <w:rPr>
          <w:rFonts w:ascii="Garamond" w:hAnsi="Garamond"/>
        </w:rPr>
        <w:t>Dr Adrian Delia</w:t>
      </w:r>
      <w:r w:rsidRPr="00344FE9">
        <w:rPr>
          <w:rFonts w:ascii="Garamond" w:hAnsi="Garamond"/>
        </w:rPr>
        <w:t xml:space="preserve"> acting for the Appellant.</w:t>
      </w:r>
    </w:p>
    <w:p w14:paraId="28DBF44E" w14:textId="1A4133CC" w:rsidR="00DA475F" w:rsidRPr="0038009E" w:rsidRDefault="00DA475F" w:rsidP="00DA475F">
      <w:pPr>
        <w:tabs>
          <w:tab w:val="left" w:pos="709"/>
        </w:tabs>
        <w:ind w:left="709"/>
        <w:jc w:val="both"/>
        <w:rPr>
          <w:rFonts w:ascii="Garamond" w:hAnsi="Garamond"/>
        </w:rPr>
      </w:pPr>
      <w:r w:rsidRPr="0038009E">
        <w:rPr>
          <w:rFonts w:ascii="Garamond" w:hAnsi="Garamond"/>
        </w:rPr>
        <w:t>Having taken cognisance and evaluated all the acts and documentation filed, as well as the submissions made by representatives of the parties;</w:t>
      </w:r>
    </w:p>
    <w:p w14:paraId="19381DD8" w14:textId="7878B21F" w:rsidR="001C760B" w:rsidRPr="0038009E" w:rsidRDefault="001C760B" w:rsidP="00135C45">
      <w:pPr>
        <w:tabs>
          <w:tab w:val="left" w:pos="709"/>
        </w:tabs>
        <w:ind w:left="709"/>
        <w:jc w:val="both"/>
        <w:rPr>
          <w:rFonts w:ascii="Garamond" w:hAnsi="Garamond"/>
          <w:highlight w:val="yellow"/>
        </w:rPr>
      </w:pPr>
      <w:r w:rsidRPr="0038009E">
        <w:rPr>
          <w:rFonts w:ascii="Garamond" w:hAnsi="Garamond"/>
        </w:rPr>
        <w:t xml:space="preserve">Having noted and evaluated the minutes of the Board sitting of the </w:t>
      </w:r>
      <w:r w:rsidR="006F643D">
        <w:rPr>
          <w:rFonts w:ascii="Garamond" w:hAnsi="Garamond"/>
        </w:rPr>
        <w:t>16</w:t>
      </w:r>
      <w:r w:rsidR="00705AF5" w:rsidRPr="00CD0570">
        <w:rPr>
          <w:rFonts w:ascii="Garamond" w:hAnsi="Garamond"/>
          <w:vertAlign w:val="superscript"/>
        </w:rPr>
        <w:t>th</w:t>
      </w:r>
      <w:r w:rsidR="00705AF5" w:rsidRPr="00CD0570">
        <w:rPr>
          <w:rFonts w:ascii="Garamond" w:hAnsi="Garamond"/>
        </w:rPr>
        <w:t xml:space="preserve"> </w:t>
      </w:r>
      <w:r w:rsidR="00344FE9">
        <w:rPr>
          <w:rFonts w:ascii="Garamond" w:hAnsi="Garamond"/>
        </w:rPr>
        <w:t>September</w:t>
      </w:r>
      <w:r w:rsidR="00705AF5" w:rsidRPr="0038009E">
        <w:rPr>
          <w:rFonts w:ascii="Garamond" w:hAnsi="Garamond"/>
        </w:rPr>
        <w:t xml:space="preserve"> 202</w:t>
      </w:r>
      <w:r w:rsidR="00BB6E01">
        <w:rPr>
          <w:rFonts w:ascii="Garamond" w:hAnsi="Garamond"/>
        </w:rPr>
        <w:t>5</w:t>
      </w:r>
      <w:r w:rsidR="00705AF5" w:rsidRPr="0038009E">
        <w:rPr>
          <w:rFonts w:ascii="Garamond" w:hAnsi="Garamond"/>
        </w:rPr>
        <w:t xml:space="preserve"> </w:t>
      </w:r>
      <w:r w:rsidRPr="0038009E">
        <w:rPr>
          <w:rFonts w:ascii="Garamond" w:hAnsi="Garamond"/>
        </w:rPr>
        <w:t>hereunder-reproduced</w:t>
      </w:r>
      <w:r w:rsidR="00CA4316" w:rsidRPr="0038009E">
        <w:rPr>
          <w:rFonts w:ascii="Garamond" w:hAnsi="Garamond"/>
        </w:rPr>
        <w:t>.</w:t>
      </w:r>
    </w:p>
    <w:p w14:paraId="54D1C43D" w14:textId="77777777" w:rsidR="00E016CB" w:rsidRDefault="00E016CB" w:rsidP="00933721">
      <w:pPr>
        <w:jc w:val="both"/>
        <w:rPr>
          <w:b/>
        </w:rPr>
      </w:pPr>
    </w:p>
    <w:p w14:paraId="09A4DB0C" w14:textId="58EE9B89" w:rsidR="00B532E1" w:rsidRPr="00EF2B74" w:rsidRDefault="00B532E1" w:rsidP="00711F17">
      <w:pPr>
        <w:jc w:val="both"/>
        <w:rPr>
          <w:b/>
        </w:rPr>
      </w:pPr>
      <w:r w:rsidRPr="00EF2B74">
        <w:rPr>
          <w:b/>
        </w:rPr>
        <w:t>Minutes</w:t>
      </w:r>
    </w:p>
    <w:p w14:paraId="346950D5" w14:textId="77777777" w:rsidR="00B215FF" w:rsidRPr="00B215FF" w:rsidRDefault="00B215FF" w:rsidP="00711F17">
      <w:pPr>
        <w:jc w:val="both"/>
        <w:rPr>
          <w:rFonts w:cstheme="minorHAnsi"/>
          <w:b/>
          <w:bCs/>
        </w:rPr>
      </w:pPr>
      <w:r w:rsidRPr="00B215FF">
        <w:rPr>
          <w:rFonts w:cstheme="minorHAnsi"/>
          <w:b/>
          <w:bCs/>
        </w:rPr>
        <w:t xml:space="preserve">Case 2151 </w:t>
      </w:r>
      <w:proofErr w:type="spellStart"/>
      <w:r w:rsidRPr="00B215FF">
        <w:rPr>
          <w:rFonts w:cstheme="minorHAnsi"/>
          <w:b/>
          <w:bCs/>
        </w:rPr>
        <w:t>KLMsd</w:t>
      </w:r>
      <w:proofErr w:type="spellEnd"/>
      <w:r w:rsidRPr="00B215FF">
        <w:rPr>
          <w:rFonts w:cstheme="minorHAnsi"/>
          <w:b/>
          <w:bCs/>
        </w:rPr>
        <w:t>/TDR/05/2024 – Tender for the Embellishment of Pjazza Victor Denaro in Msida, including environmentally friendly paint, soli improvers, plants and trees and automatic irrigation systems.</w:t>
      </w:r>
    </w:p>
    <w:p w14:paraId="474ECC27" w14:textId="77777777" w:rsidR="00B215FF" w:rsidRPr="00C52EEC" w:rsidRDefault="00B215FF" w:rsidP="00711F17">
      <w:pPr>
        <w:jc w:val="both"/>
        <w:rPr>
          <w:rFonts w:cstheme="minorHAnsi"/>
        </w:rPr>
      </w:pPr>
      <w:r w:rsidRPr="00C52EEC">
        <w:rPr>
          <w:rFonts w:cstheme="minorHAnsi"/>
        </w:rPr>
        <w:t>The tender was issued on the 20</w:t>
      </w:r>
      <w:r w:rsidRPr="00C52EEC">
        <w:rPr>
          <w:rFonts w:cstheme="minorHAnsi"/>
          <w:vertAlign w:val="superscript"/>
        </w:rPr>
        <w:t>th</w:t>
      </w:r>
      <w:r w:rsidRPr="00C52EEC">
        <w:rPr>
          <w:rFonts w:cstheme="minorHAnsi"/>
        </w:rPr>
        <w:t xml:space="preserve"> </w:t>
      </w:r>
      <w:r w:rsidRPr="00C52EEC">
        <w:rPr>
          <w:rFonts w:cstheme="minorHAnsi"/>
          <w:vertAlign w:val="superscript"/>
        </w:rPr>
        <w:t>of</w:t>
      </w:r>
      <w:r w:rsidRPr="00C52EEC">
        <w:rPr>
          <w:rFonts w:cstheme="minorHAnsi"/>
        </w:rPr>
        <w:t xml:space="preserve"> December 2024, and the closing date was the 28th</w:t>
      </w:r>
      <w:r w:rsidRPr="00C52EEC">
        <w:rPr>
          <w:rFonts w:cstheme="minorHAnsi"/>
          <w:vertAlign w:val="superscript"/>
        </w:rPr>
        <w:t xml:space="preserve"> of</w:t>
      </w:r>
      <w:r w:rsidRPr="00C52EEC">
        <w:rPr>
          <w:rFonts w:cstheme="minorHAnsi"/>
        </w:rPr>
        <w:t xml:space="preserve"> January 2025.</w:t>
      </w:r>
    </w:p>
    <w:p w14:paraId="34FAC6AA" w14:textId="77777777" w:rsidR="00B215FF" w:rsidRPr="00C52EEC" w:rsidRDefault="00B215FF" w:rsidP="00711F17">
      <w:pPr>
        <w:jc w:val="both"/>
        <w:rPr>
          <w:rFonts w:cstheme="minorHAnsi"/>
        </w:rPr>
      </w:pPr>
      <w:r w:rsidRPr="00C52EEC">
        <w:rPr>
          <w:rFonts w:cstheme="minorHAnsi"/>
        </w:rPr>
        <w:t>The estimated value of the tender, excluding VAT, was €727,940.</w:t>
      </w:r>
    </w:p>
    <w:p w14:paraId="13A44113" w14:textId="77777777" w:rsidR="00B215FF" w:rsidRPr="00C52EEC" w:rsidRDefault="00B215FF" w:rsidP="00711F17">
      <w:pPr>
        <w:jc w:val="both"/>
        <w:rPr>
          <w:rFonts w:cstheme="minorHAnsi"/>
          <w:color w:val="FF0000"/>
        </w:rPr>
      </w:pPr>
      <w:r w:rsidRPr="00C52EEC">
        <w:rPr>
          <w:rFonts w:cstheme="minorHAnsi"/>
        </w:rPr>
        <w:t>On 13</w:t>
      </w:r>
      <w:r w:rsidRPr="00C52EEC">
        <w:rPr>
          <w:rFonts w:cstheme="minorHAnsi"/>
          <w:vertAlign w:val="superscript"/>
        </w:rPr>
        <w:t>th</w:t>
      </w:r>
      <w:r w:rsidRPr="00C52EEC">
        <w:rPr>
          <w:rFonts w:cstheme="minorHAnsi"/>
        </w:rPr>
        <w:t xml:space="preserve"> January 2025, </w:t>
      </w:r>
      <w:proofErr w:type="spellStart"/>
      <w:r w:rsidRPr="00C52EEC">
        <w:rPr>
          <w:rFonts w:cstheme="minorHAnsi"/>
        </w:rPr>
        <w:t>Projekte</w:t>
      </w:r>
      <w:proofErr w:type="spellEnd"/>
      <w:r w:rsidRPr="00C52EEC">
        <w:rPr>
          <w:rFonts w:cstheme="minorHAnsi"/>
        </w:rPr>
        <w:t xml:space="preserve"> Global Limited. (C39978) lodged an appeal against Msida Local Council – the Contracting Authority, in accordance with Regulation 262 of the Public Procurement Regulations. </w:t>
      </w:r>
    </w:p>
    <w:p w14:paraId="1F613D29" w14:textId="77777777" w:rsidR="00B215FF" w:rsidRPr="00C52EEC" w:rsidRDefault="00B215FF" w:rsidP="00711F17">
      <w:pPr>
        <w:jc w:val="both"/>
        <w:rPr>
          <w:rFonts w:cstheme="minorHAnsi"/>
        </w:rPr>
      </w:pPr>
      <w:r w:rsidRPr="00C52EEC">
        <w:rPr>
          <w:rFonts w:cstheme="minorHAnsi"/>
        </w:rPr>
        <w:t>A deposit of €3,693.70 was paid.</w:t>
      </w:r>
    </w:p>
    <w:p w14:paraId="70741DC4" w14:textId="77777777" w:rsidR="00B215FF" w:rsidRPr="00C52EEC" w:rsidRDefault="00B215FF" w:rsidP="00711F17">
      <w:pPr>
        <w:jc w:val="both"/>
        <w:rPr>
          <w:rFonts w:cstheme="minorHAnsi"/>
        </w:rPr>
      </w:pPr>
      <w:r w:rsidRPr="00C52EEC">
        <w:rPr>
          <w:rFonts w:cstheme="minorHAnsi"/>
        </w:rPr>
        <w:t>On the 16</w:t>
      </w:r>
      <w:r w:rsidRPr="00C52EEC">
        <w:rPr>
          <w:rFonts w:cstheme="minorHAnsi"/>
          <w:vertAlign w:val="superscript"/>
        </w:rPr>
        <w:t>th of</w:t>
      </w:r>
      <w:r w:rsidRPr="00C52EEC">
        <w:rPr>
          <w:rFonts w:cstheme="minorHAnsi"/>
        </w:rPr>
        <w:t xml:space="preserve"> September 2025, the Public Contracts Review Board (PCRB), composed of Mr. Kenneth Swain as Chairman, Mr Keith Victor Grech and Mr. Lawrence Ancilleri, as members, convened a public hearing to consider the appeal.</w:t>
      </w:r>
    </w:p>
    <w:p w14:paraId="31A6DA2C" w14:textId="77777777" w:rsidR="00B215FF" w:rsidRPr="00C52EEC" w:rsidRDefault="00B215FF" w:rsidP="00711F17">
      <w:pPr>
        <w:jc w:val="both"/>
        <w:rPr>
          <w:rFonts w:cstheme="minorHAnsi"/>
        </w:rPr>
      </w:pPr>
      <w:r w:rsidRPr="00C52EEC">
        <w:rPr>
          <w:rFonts w:cstheme="minorHAnsi"/>
        </w:rPr>
        <w:t>The attendance for this public hearing was as follows:</w:t>
      </w:r>
    </w:p>
    <w:p w14:paraId="690C8819" w14:textId="77777777" w:rsidR="00B215FF" w:rsidRPr="00C52EEC" w:rsidRDefault="00B215FF" w:rsidP="00711F17">
      <w:pPr>
        <w:jc w:val="both"/>
        <w:rPr>
          <w:rFonts w:cstheme="minorHAnsi"/>
          <w:b/>
          <w:bCs/>
        </w:rPr>
      </w:pPr>
      <w:r w:rsidRPr="00C52EEC">
        <w:rPr>
          <w:rFonts w:cstheme="minorHAnsi"/>
          <w:b/>
          <w:bCs/>
        </w:rPr>
        <w:lastRenderedPageBreak/>
        <w:t xml:space="preserve">Appellant – </w:t>
      </w:r>
      <w:proofErr w:type="spellStart"/>
      <w:r w:rsidRPr="00C52EEC">
        <w:rPr>
          <w:rFonts w:cstheme="minorHAnsi"/>
          <w:b/>
          <w:bCs/>
        </w:rPr>
        <w:t>Projekte</w:t>
      </w:r>
      <w:proofErr w:type="spellEnd"/>
      <w:r w:rsidRPr="00C52EEC">
        <w:rPr>
          <w:rFonts w:cstheme="minorHAnsi"/>
          <w:b/>
          <w:bCs/>
        </w:rPr>
        <w:t xml:space="preserve"> Global Limited. (C39978).</w:t>
      </w:r>
    </w:p>
    <w:p w14:paraId="20CE172D" w14:textId="77777777" w:rsidR="00B215FF" w:rsidRPr="00C52EEC" w:rsidRDefault="00B215FF" w:rsidP="00711F17">
      <w:pPr>
        <w:jc w:val="both"/>
        <w:rPr>
          <w:rFonts w:cstheme="minorHAnsi"/>
        </w:rPr>
      </w:pPr>
      <w:r w:rsidRPr="00C52EEC">
        <w:rPr>
          <w:rFonts w:cstheme="minorHAnsi"/>
        </w:rPr>
        <w:t>Dr Adrian Delia – Legal Representative.</w:t>
      </w:r>
    </w:p>
    <w:p w14:paraId="1D5BE900" w14:textId="77777777" w:rsidR="00B215FF" w:rsidRPr="00C52EEC" w:rsidRDefault="00B215FF" w:rsidP="00711F17">
      <w:pPr>
        <w:jc w:val="both"/>
        <w:rPr>
          <w:rFonts w:cstheme="minorHAnsi"/>
        </w:rPr>
      </w:pPr>
      <w:r w:rsidRPr="00C52EEC">
        <w:rPr>
          <w:rFonts w:cstheme="minorHAnsi"/>
        </w:rPr>
        <w:t>Dr Zack Esmail – Legal Representative.</w:t>
      </w:r>
      <w:r w:rsidRPr="00C52EEC">
        <w:rPr>
          <w:rFonts w:eastAsia="Times New Roman"/>
        </w:rPr>
        <w:t> </w:t>
      </w:r>
    </w:p>
    <w:p w14:paraId="6A065BB2" w14:textId="79824B7F" w:rsidR="00B215FF" w:rsidRPr="00C52EEC" w:rsidRDefault="00B215FF" w:rsidP="00711F17">
      <w:pPr>
        <w:jc w:val="both"/>
        <w:rPr>
          <w:rFonts w:eastAsia="Times New Roman"/>
        </w:rPr>
      </w:pPr>
      <w:r w:rsidRPr="00C52EEC">
        <w:rPr>
          <w:rFonts w:eastAsia="Times New Roman"/>
        </w:rPr>
        <w:t xml:space="preserve">Mr. Desmond Mizzi </w:t>
      </w:r>
      <w:r>
        <w:rPr>
          <w:rFonts w:eastAsia="Times New Roman"/>
        </w:rPr>
        <w:t xml:space="preserve">– </w:t>
      </w:r>
      <w:r w:rsidRPr="00C52EEC">
        <w:rPr>
          <w:rFonts w:eastAsia="Times New Roman"/>
        </w:rPr>
        <w:t>Company Representative.</w:t>
      </w:r>
    </w:p>
    <w:p w14:paraId="10F8AC6F" w14:textId="76EB7F5D" w:rsidR="00B215FF" w:rsidRPr="00C52EEC" w:rsidRDefault="00B215FF" w:rsidP="00711F17">
      <w:pPr>
        <w:jc w:val="both"/>
        <w:rPr>
          <w:rFonts w:cstheme="minorHAnsi"/>
          <w:b/>
          <w:bCs/>
        </w:rPr>
      </w:pPr>
      <w:r w:rsidRPr="00C52EEC">
        <w:rPr>
          <w:rFonts w:cstheme="minorHAnsi"/>
          <w:b/>
          <w:bCs/>
        </w:rPr>
        <w:t xml:space="preserve">Contracting Authority – </w:t>
      </w:r>
      <w:r>
        <w:rPr>
          <w:rFonts w:cstheme="minorHAnsi"/>
          <w:b/>
          <w:bCs/>
        </w:rPr>
        <w:t xml:space="preserve">Project Green and </w:t>
      </w:r>
      <w:r w:rsidRPr="00C52EEC">
        <w:rPr>
          <w:rFonts w:cstheme="minorHAnsi"/>
          <w:b/>
          <w:bCs/>
        </w:rPr>
        <w:t>Msida Local Council.</w:t>
      </w:r>
    </w:p>
    <w:p w14:paraId="2EFBDFF6" w14:textId="77777777" w:rsidR="00B215FF" w:rsidRPr="00C52EEC" w:rsidRDefault="00B215FF" w:rsidP="00711F17">
      <w:pPr>
        <w:jc w:val="both"/>
        <w:rPr>
          <w:rFonts w:cstheme="minorHAnsi"/>
        </w:rPr>
      </w:pPr>
      <w:r w:rsidRPr="00C52EEC">
        <w:rPr>
          <w:rFonts w:cstheme="minorHAnsi"/>
        </w:rPr>
        <w:t>Dr Jonathan Thompson – Legal Representative.</w:t>
      </w:r>
    </w:p>
    <w:p w14:paraId="0FCBBEB5" w14:textId="77777777" w:rsidR="00B215FF" w:rsidRPr="00B215FF" w:rsidRDefault="00B215FF" w:rsidP="00711F17">
      <w:pPr>
        <w:jc w:val="both"/>
        <w:rPr>
          <w:rFonts w:cstheme="minorHAnsi"/>
          <w:lang w:val="it-IT"/>
        </w:rPr>
      </w:pPr>
      <w:r w:rsidRPr="00B215FF">
        <w:rPr>
          <w:rFonts w:cstheme="minorHAnsi"/>
          <w:lang w:val="it-IT"/>
        </w:rPr>
        <w:t>Dr Kristina Friggieri – Legal representative.</w:t>
      </w:r>
    </w:p>
    <w:p w14:paraId="165FCD2B" w14:textId="77777777" w:rsidR="00B215FF" w:rsidRPr="00C52EEC" w:rsidRDefault="00B215FF" w:rsidP="00711F17">
      <w:pPr>
        <w:jc w:val="both"/>
        <w:rPr>
          <w:rFonts w:cstheme="minorHAnsi"/>
        </w:rPr>
      </w:pPr>
      <w:r w:rsidRPr="00C52EEC">
        <w:rPr>
          <w:rFonts w:cstheme="minorHAnsi"/>
        </w:rPr>
        <w:t>Ms. Josette Micallef – Executive Secretary.</w:t>
      </w:r>
    </w:p>
    <w:p w14:paraId="744EB2ED" w14:textId="77777777" w:rsidR="00B215FF" w:rsidRPr="00C52EEC" w:rsidRDefault="00B215FF" w:rsidP="00711F17">
      <w:pPr>
        <w:jc w:val="both"/>
        <w:rPr>
          <w:rFonts w:cstheme="minorHAnsi"/>
        </w:rPr>
      </w:pPr>
      <w:r w:rsidRPr="00C52EEC">
        <w:rPr>
          <w:rFonts w:cstheme="minorHAnsi"/>
        </w:rPr>
        <w:t>Ms. Beverly Costa – Company Representative.</w:t>
      </w:r>
    </w:p>
    <w:p w14:paraId="0A3312CE" w14:textId="77777777" w:rsidR="00B215FF" w:rsidRPr="00C52EEC" w:rsidRDefault="00B215FF" w:rsidP="00711F17">
      <w:pPr>
        <w:jc w:val="both"/>
        <w:rPr>
          <w:rFonts w:cstheme="minorHAnsi"/>
        </w:rPr>
      </w:pPr>
      <w:r w:rsidRPr="00C52EEC">
        <w:rPr>
          <w:rFonts w:cstheme="minorHAnsi"/>
        </w:rPr>
        <w:t>Mr. Keith Anthony Buttigieg – Company Representative.</w:t>
      </w:r>
    </w:p>
    <w:p w14:paraId="6465211B" w14:textId="77777777" w:rsidR="00B215FF" w:rsidRPr="00691A20" w:rsidRDefault="00B215FF" w:rsidP="00711F17">
      <w:pPr>
        <w:spacing w:before="100" w:beforeAutospacing="1" w:after="100" w:afterAutospacing="1" w:line="240" w:lineRule="auto"/>
        <w:jc w:val="both"/>
        <w:outlineLvl w:val="0"/>
        <w:rPr>
          <w:rFonts w:eastAsia="Times New Roman" w:cs="Times New Roman"/>
          <w:b/>
          <w:bCs/>
          <w:kern w:val="36"/>
          <w:lang w:eastAsia="en-GB"/>
        </w:rPr>
      </w:pPr>
      <w:r w:rsidRPr="00691A20">
        <w:rPr>
          <w:rFonts w:eastAsia="Times New Roman" w:cs="Times New Roman"/>
          <w:b/>
          <w:bCs/>
          <w:kern w:val="36"/>
          <w:lang w:eastAsia="en-GB"/>
        </w:rPr>
        <w:t>Opening Statements</w:t>
      </w:r>
    </w:p>
    <w:p w14:paraId="16B3F276"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 xml:space="preserve">Mr. Kenneth Swain, Chairman of the Public Contracts Review Board, welcomed the parties present: the Appellant, </w:t>
      </w:r>
      <w:proofErr w:type="spellStart"/>
      <w:r w:rsidRPr="00691A20">
        <w:rPr>
          <w:rFonts w:eastAsia="Times New Roman" w:cs="Times New Roman"/>
          <w:lang w:eastAsia="en-GB"/>
        </w:rPr>
        <w:t>Projekte</w:t>
      </w:r>
      <w:proofErr w:type="spellEnd"/>
      <w:r w:rsidRPr="00691A20">
        <w:rPr>
          <w:rFonts w:eastAsia="Times New Roman" w:cs="Times New Roman"/>
          <w:lang w:eastAsia="en-GB"/>
        </w:rPr>
        <w:t xml:space="preserve"> Global Limited, and the Contracting Authority, Msida Local Council.</w:t>
      </w:r>
    </w:p>
    <w:p w14:paraId="106950B1" w14:textId="77777777" w:rsidR="00B215FF" w:rsidRPr="00691A20" w:rsidRDefault="00B215FF" w:rsidP="00711F17">
      <w:pPr>
        <w:spacing w:before="100" w:beforeAutospacing="1" w:after="100" w:afterAutospacing="1" w:line="240" w:lineRule="auto"/>
        <w:jc w:val="both"/>
        <w:outlineLvl w:val="0"/>
        <w:rPr>
          <w:rFonts w:eastAsia="Times New Roman" w:cs="Times New Roman"/>
          <w:b/>
          <w:bCs/>
          <w:kern w:val="36"/>
          <w:lang w:eastAsia="en-GB"/>
        </w:rPr>
      </w:pPr>
      <w:r w:rsidRPr="00691A20">
        <w:rPr>
          <w:rFonts w:eastAsia="Times New Roman" w:cs="Times New Roman"/>
          <w:b/>
          <w:bCs/>
          <w:kern w:val="36"/>
          <w:lang w:eastAsia="en-GB"/>
        </w:rPr>
        <w:t>Initial Submissions</w:t>
      </w:r>
    </w:p>
    <w:p w14:paraId="33495624" w14:textId="77777777" w:rsidR="00B215FF" w:rsidRPr="00691A20" w:rsidRDefault="00B215FF" w:rsidP="00711F17">
      <w:pPr>
        <w:spacing w:before="100" w:beforeAutospacing="1" w:after="100" w:afterAutospacing="1" w:line="240" w:lineRule="auto"/>
        <w:jc w:val="both"/>
        <w:outlineLvl w:val="2"/>
        <w:rPr>
          <w:rFonts w:eastAsia="Times New Roman" w:cs="Times New Roman"/>
          <w:b/>
          <w:bCs/>
          <w:lang w:eastAsia="en-GB"/>
        </w:rPr>
      </w:pPr>
      <w:r w:rsidRPr="00691A20">
        <w:rPr>
          <w:rFonts w:eastAsia="Times New Roman" w:cs="Times New Roman"/>
          <w:b/>
          <w:bCs/>
          <w:lang w:eastAsia="en-GB"/>
        </w:rPr>
        <w:t>Submissions by the Appellant</w:t>
      </w:r>
    </w:p>
    <w:p w14:paraId="1F7A73A1"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Dr. Adrian Delia explained that this is a project between Project Green and Msida Local Council, one of several similar projects amounting to a total of €19 million. He noted that Maltese law promotes competition by allowing every individual the opportunity to bid for government contracts. He stressed that tenders should not be crafted in a way that undermines the will of the legislator.</w:t>
      </w:r>
    </w:p>
    <w:p w14:paraId="37B2A515"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Dr. Delia argued that the tender could have been divided into separate lots:</w:t>
      </w:r>
    </w:p>
    <w:p w14:paraId="5B73D5F1" w14:textId="77777777" w:rsidR="00B215FF" w:rsidRPr="00691A20" w:rsidRDefault="00B215FF" w:rsidP="00CA58E5">
      <w:pPr>
        <w:numPr>
          <w:ilvl w:val="0"/>
          <w:numId w:val="2"/>
        </w:numPr>
        <w:spacing w:before="100" w:beforeAutospacing="1" w:after="100" w:afterAutospacing="1" w:line="240" w:lineRule="auto"/>
        <w:jc w:val="both"/>
        <w:rPr>
          <w:rFonts w:eastAsia="Times New Roman" w:cs="Times New Roman"/>
          <w:lang w:eastAsia="en-GB"/>
        </w:rPr>
      </w:pPr>
      <w:r w:rsidRPr="00691A20">
        <w:rPr>
          <w:rFonts w:eastAsia="Times New Roman" w:cs="Times New Roman"/>
          <w:b/>
          <w:bCs/>
          <w:lang w:eastAsia="en-GB"/>
        </w:rPr>
        <w:t>Lot 1</w:t>
      </w:r>
      <w:r w:rsidRPr="00691A20">
        <w:rPr>
          <w:rFonts w:eastAsia="Times New Roman" w:cs="Times New Roman"/>
          <w:lang w:eastAsia="en-GB"/>
        </w:rPr>
        <w:t>: Site clearance, demolition, excavation, construction of footpaths, and installation of MEP services.</w:t>
      </w:r>
    </w:p>
    <w:p w14:paraId="05E36B0D" w14:textId="77777777" w:rsidR="00B215FF" w:rsidRPr="00691A20" w:rsidRDefault="00B215FF" w:rsidP="00CA58E5">
      <w:pPr>
        <w:numPr>
          <w:ilvl w:val="0"/>
          <w:numId w:val="2"/>
        </w:numPr>
        <w:spacing w:before="100" w:beforeAutospacing="1" w:after="100" w:afterAutospacing="1" w:line="240" w:lineRule="auto"/>
        <w:jc w:val="both"/>
        <w:rPr>
          <w:rFonts w:eastAsia="Times New Roman" w:cs="Times New Roman"/>
          <w:lang w:eastAsia="en-GB"/>
        </w:rPr>
      </w:pPr>
      <w:r w:rsidRPr="00691A20">
        <w:rPr>
          <w:rFonts w:eastAsia="Times New Roman" w:cs="Times New Roman"/>
          <w:b/>
          <w:bCs/>
          <w:lang w:eastAsia="en-GB"/>
        </w:rPr>
        <w:t>Lot 2</w:t>
      </w:r>
      <w:r w:rsidRPr="00691A20">
        <w:rPr>
          <w:rFonts w:eastAsia="Times New Roman" w:cs="Times New Roman"/>
          <w:lang w:eastAsia="en-GB"/>
        </w:rPr>
        <w:t>: Street furniture, play equipment, traffic signs, road markings, and maintenance works.</w:t>
      </w:r>
    </w:p>
    <w:p w14:paraId="008E85CD" w14:textId="77777777" w:rsidR="00B215FF" w:rsidRPr="00691A20" w:rsidRDefault="00B215FF" w:rsidP="00CA58E5">
      <w:pPr>
        <w:numPr>
          <w:ilvl w:val="0"/>
          <w:numId w:val="2"/>
        </w:numPr>
        <w:spacing w:before="100" w:beforeAutospacing="1" w:after="100" w:afterAutospacing="1" w:line="240" w:lineRule="auto"/>
        <w:jc w:val="both"/>
        <w:rPr>
          <w:rFonts w:eastAsia="Times New Roman" w:cs="Times New Roman"/>
          <w:lang w:eastAsia="en-GB"/>
        </w:rPr>
      </w:pPr>
      <w:r w:rsidRPr="00691A20">
        <w:rPr>
          <w:rFonts w:eastAsia="Times New Roman" w:cs="Times New Roman"/>
          <w:b/>
          <w:bCs/>
          <w:lang w:eastAsia="en-GB"/>
        </w:rPr>
        <w:t>Lot 3</w:t>
      </w:r>
      <w:r w:rsidRPr="00691A20">
        <w:rPr>
          <w:rFonts w:eastAsia="Times New Roman" w:cs="Times New Roman"/>
          <w:lang w:eastAsia="en-GB"/>
        </w:rPr>
        <w:t>: Landscaping and maintenance works.</w:t>
      </w:r>
    </w:p>
    <w:p w14:paraId="76AFC629"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He noted that the opposing party claimed the works might overlap, but he considered this an insufficient justification.</w:t>
      </w:r>
    </w:p>
    <w:p w14:paraId="5052180B" w14:textId="77777777" w:rsidR="00B215FF" w:rsidRPr="00691A20" w:rsidRDefault="00B215FF" w:rsidP="00711F17">
      <w:pPr>
        <w:spacing w:before="100" w:beforeAutospacing="1" w:after="100" w:afterAutospacing="1" w:line="240" w:lineRule="auto"/>
        <w:jc w:val="both"/>
        <w:outlineLvl w:val="2"/>
        <w:rPr>
          <w:rFonts w:eastAsia="Times New Roman" w:cs="Times New Roman"/>
          <w:b/>
          <w:bCs/>
          <w:lang w:eastAsia="en-GB"/>
        </w:rPr>
      </w:pPr>
      <w:r w:rsidRPr="00691A20">
        <w:rPr>
          <w:rFonts w:eastAsia="Times New Roman" w:cs="Times New Roman"/>
          <w:b/>
          <w:bCs/>
          <w:lang w:eastAsia="en-GB"/>
        </w:rPr>
        <w:t>Initial Submissions by the Contracting Authority</w:t>
      </w:r>
    </w:p>
    <w:p w14:paraId="78713AD4"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Dr. Jonathan Thompson stated that it is within the discretion of the Contracting Authority to decide whether to divide a tender into lots. He referred to Regulation 33 of the Public Procurement Regulations (PPR) and Article 46 of the EU Directive, both of which allow—but do not obligate—the Authority to divide tenders. He also cited Recital 78 of the Directive, which outlines circumstances where division may not be appropriate. He quotes:</w:t>
      </w:r>
    </w:p>
    <w:p w14:paraId="2AEAD93E" w14:textId="77777777" w:rsidR="00B215FF" w:rsidRPr="00691A20" w:rsidRDefault="00B215FF" w:rsidP="00711F17">
      <w:pPr>
        <w:spacing w:beforeAutospacing="1" w:after="100" w:afterAutospacing="1" w:line="240" w:lineRule="auto"/>
        <w:jc w:val="both"/>
        <w:rPr>
          <w:rFonts w:eastAsia="Times New Roman" w:cs="Times New Roman"/>
          <w:i/>
          <w:iCs/>
          <w:lang w:eastAsia="en-GB"/>
        </w:rPr>
      </w:pPr>
      <w:r w:rsidRPr="00691A20">
        <w:rPr>
          <w:rFonts w:eastAsia="Times New Roman" w:cs="Times New Roman"/>
          <w:i/>
          <w:iCs/>
          <w:lang w:eastAsia="en-GB"/>
        </w:rPr>
        <w:t>“The need to coordinate different contractors, with the risk that such division could undermine the proper execution of the contract.”</w:t>
      </w:r>
    </w:p>
    <w:p w14:paraId="0E9CEDAD"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lastRenderedPageBreak/>
        <w:t>Dr. Thompson stressed that this project concerns the embellishment of a piazza, which must be maintained over a five-year period. Awarding the tender to a single operator reduces the risk of operational conflicts. He also noted that the tender allows for sub-contracting to participate in line with EU rules.</w:t>
      </w:r>
    </w:p>
    <w:p w14:paraId="3556CAA2" w14:textId="77777777" w:rsidR="00B215FF" w:rsidRPr="00691A20" w:rsidRDefault="00B215FF" w:rsidP="00711F17">
      <w:pPr>
        <w:spacing w:before="100" w:beforeAutospacing="1" w:after="100" w:afterAutospacing="1" w:line="240" w:lineRule="auto"/>
        <w:jc w:val="both"/>
        <w:outlineLvl w:val="0"/>
        <w:rPr>
          <w:rFonts w:eastAsia="Times New Roman" w:cs="Times New Roman"/>
          <w:b/>
          <w:bCs/>
          <w:kern w:val="36"/>
          <w:lang w:eastAsia="en-GB"/>
        </w:rPr>
      </w:pPr>
      <w:r w:rsidRPr="00691A20">
        <w:rPr>
          <w:rFonts w:eastAsia="Times New Roman" w:cs="Times New Roman"/>
          <w:b/>
          <w:bCs/>
          <w:kern w:val="36"/>
          <w:lang w:eastAsia="en-GB"/>
        </w:rPr>
        <w:t xml:space="preserve">Witness: </w:t>
      </w:r>
    </w:p>
    <w:p w14:paraId="5DA878F3" w14:textId="77777777" w:rsidR="00B215FF" w:rsidRPr="00691A20" w:rsidRDefault="00B215FF" w:rsidP="00711F17">
      <w:pPr>
        <w:spacing w:before="100" w:beforeAutospacing="1" w:after="100" w:afterAutospacing="1" w:line="240" w:lineRule="auto"/>
        <w:jc w:val="both"/>
        <w:outlineLvl w:val="2"/>
        <w:rPr>
          <w:rFonts w:eastAsia="Times New Roman" w:cs="Times New Roman"/>
          <w:b/>
          <w:bCs/>
          <w:lang w:eastAsia="en-GB"/>
        </w:rPr>
      </w:pPr>
      <w:r w:rsidRPr="00691A20">
        <w:rPr>
          <w:rFonts w:eastAsia="Times New Roman" w:cs="Times New Roman"/>
          <w:b/>
          <w:bCs/>
          <w:lang w:eastAsia="en-GB"/>
        </w:rPr>
        <w:t>Mr. Keith Buttigieg ID no. 8879M (Summoned by Dr. Delia)</w:t>
      </w:r>
    </w:p>
    <w:p w14:paraId="2334E2C9"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Mr. Buttigieg identified himself as Chief Officer, Procurement and Project Manager with Project Green. He explained that Project Green had invited Local Councils to express interest in embellishment projects, resulting in fourteen tenders since October 2024. These projects typically involved civil works, mechanical and electrical works, street lighting, furniture, and landscaping.</w:t>
      </w:r>
    </w:p>
    <w:p w14:paraId="3EED1110"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He explained that the sites were confined areas, and with more than one contractor, works would have to be carried out sequentially rather than concurrently. The execution period was set at 26 weeks.</w:t>
      </w:r>
    </w:p>
    <w:p w14:paraId="27B456B3"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heme="minorHAnsi"/>
          <w:lang w:eastAsia="en-GB"/>
        </w:rPr>
        <w:t xml:space="preserve"> Dr Delia explained that the structure of all tenders issued are all the same, even for bigger areas like the one in Fgura, costing 4.2 million euros. Dr Delia argued that the tender could still have been divided into lots </w:t>
      </w:r>
      <w:r w:rsidRPr="00691A20">
        <w:rPr>
          <w:rFonts w:eastAsia="Times New Roman" w:cs="Times New Roman"/>
          <w:lang w:eastAsia="en-GB"/>
        </w:rPr>
        <w:t>since, for example, site clearance cannot occur simultaneously with the installation of traffic signs.</w:t>
      </w:r>
    </w:p>
    <w:p w14:paraId="4C6EDA3B"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The Chairman reminded Dr. Delia that the Board was deciding specifically on the Msida tender.</w:t>
      </w:r>
    </w:p>
    <w:p w14:paraId="53B6F508" w14:textId="77777777" w:rsidR="00B215FF" w:rsidRPr="00691A20" w:rsidRDefault="00B215FF" w:rsidP="00711F17">
      <w:pPr>
        <w:spacing w:before="100" w:beforeAutospacing="1" w:after="100" w:afterAutospacing="1" w:line="240" w:lineRule="auto"/>
        <w:jc w:val="both"/>
        <w:rPr>
          <w:rFonts w:eastAsia="Times New Roman" w:cstheme="minorHAnsi"/>
          <w:lang w:eastAsia="en-GB"/>
        </w:rPr>
      </w:pPr>
      <w:r w:rsidRPr="00691A20">
        <w:rPr>
          <w:rFonts w:eastAsia="Times New Roman" w:cstheme="minorHAnsi"/>
          <w:lang w:eastAsia="en-GB"/>
        </w:rPr>
        <w:t>Dr Delia emphasised that the areas did not make a difference in the tender, as they were all issued in the same manner, even though one area is 40sq metres and one is 600sq metres and the works were not divided into lots.</w:t>
      </w:r>
    </w:p>
    <w:p w14:paraId="2CE30774" w14:textId="77777777" w:rsidR="00B215FF" w:rsidRPr="00691A20" w:rsidRDefault="00B215FF" w:rsidP="00711F17">
      <w:pPr>
        <w:spacing w:before="100" w:beforeAutospacing="1" w:after="100" w:afterAutospacing="1" w:line="240" w:lineRule="auto"/>
        <w:jc w:val="both"/>
        <w:rPr>
          <w:rFonts w:eastAsia="Times New Roman" w:cstheme="minorHAnsi"/>
          <w:lang w:eastAsia="en-GB"/>
        </w:rPr>
      </w:pPr>
      <w:r w:rsidRPr="00691A20">
        <w:rPr>
          <w:rFonts w:eastAsia="Times New Roman" w:cstheme="minorHAnsi"/>
          <w:lang w:eastAsia="en-GB"/>
        </w:rPr>
        <w:t>Project Green structured a template with conditions, with technical specifications and a plan on how to administrate all the projects. The market participated with a lot of bidders. Dr Delia asked how many of the bids had already been awarded.</w:t>
      </w:r>
    </w:p>
    <w:p w14:paraId="1CA1B4ED" w14:textId="77777777" w:rsidR="00B215FF" w:rsidRPr="00691A20" w:rsidRDefault="00B215FF" w:rsidP="00711F17">
      <w:pPr>
        <w:spacing w:before="100" w:beforeAutospacing="1" w:after="100" w:afterAutospacing="1" w:line="240" w:lineRule="auto"/>
        <w:jc w:val="both"/>
        <w:rPr>
          <w:rFonts w:eastAsia="Times New Roman" w:cstheme="minorHAnsi"/>
          <w:lang w:eastAsia="en-GB"/>
        </w:rPr>
      </w:pPr>
      <w:r w:rsidRPr="00691A20">
        <w:rPr>
          <w:rFonts w:eastAsia="Times New Roman" w:cstheme="minorHAnsi"/>
          <w:lang w:eastAsia="en-GB"/>
        </w:rPr>
        <w:t>Dr Thompson objected as the question was irrelevant.</w:t>
      </w:r>
    </w:p>
    <w:p w14:paraId="02A69C07" w14:textId="77777777" w:rsidR="00B215FF" w:rsidRPr="00691A20" w:rsidRDefault="00B215FF" w:rsidP="00711F17">
      <w:pPr>
        <w:spacing w:before="100" w:beforeAutospacing="1" w:after="100" w:afterAutospacing="1" w:line="240" w:lineRule="auto"/>
        <w:jc w:val="both"/>
        <w:rPr>
          <w:rFonts w:eastAsia="Times New Roman" w:cstheme="minorHAnsi"/>
          <w:lang w:eastAsia="en-GB"/>
        </w:rPr>
      </w:pPr>
      <w:r w:rsidRPr="00691A20">
        <w:rPr>
          <w:rFonts w:eastAsia="Times New Roman" w:cstheme="minorHAnsi"/>
          <w:lang w:eastAsia="en-GB"/>
        </w:rPr>
        <w:t>Dr Delia said that if the other awards were given to the same contractor, this was restricting competition and enables distortion.</w:t>
      </w:r>
    </w:p>
    <w:p w14:paraId="4CBC674C" w14:textId="77777777" w:rsidR="00B215FF" w:rsidRPr="00691A20" w:rsidRDefault="00B215FF" w:rsidP="00711F17">
      <w:pPr>
        <w:spacing w:before="100" w:beforeAutospacing="1" w:after="100" w:afterAutospacing="1" w:line="240" w:lineRule="auto"/>
        <w:jc w:val="both"/>
        <w:rPr>
          <w:rFonts w:eastAsia="Times New Roman" w:cstheme="minorHAnsi"/>
          <w:lang w:eastAsia="en-GB"/>
        </w:rPr>
      </w:pPr>
      <w:r w:rsidRPr="00691A20">
        <w:rPr>
          <w:rFonts w:eastAsia="Times New Roman" w:cstheme="minorHAnsi"/>
          <w:lang w:eastAsia="en-GB"/>
        </w:rPr>
        <w:t>Dr Thompson stressed that the awarded winners were unknown and irrelevant and that there might be similar tenders with the same criteria.</w:t>
      </w:r>
    </w:p>
    <w:p w14:paraId="72D3B5A3" w14:textId="77777777" w:rsidR="00B215FF" w:rsidRPr="00691A20" w:rsidRDefault="00B215FF" w:rsidP="00711F17">
      <w:pPr>
        <w:spacing w:before="100" w:beforeAutospacing="1" w:after="100" w:afterAutospacing="1" w:line="240" w:lineRule="auto"/>
        <w:jc w:val="both"/>
        <w:rPr>
          <w:rFonts w:eastAsia="Times New Roman" w:cstheme="minorHAnsi"/>
          <w:lang w:eastAsia="en-GB"/>
        </w:rPr>
      </w:pPr>
      <w:r w:rsidRPr="00691A20">
        <w:rPr>
          <w:rFonts w:eastAsia="Times New Roman" w:cstheme="minorHAnsi"/>
          <w:lang w:eastAsia="en-GB"/>
        </w:rPr>
        <w:t>Dr Delia repeated the question and asked how many of the 16 tenders were awarded.</w:t>
      </w:r>
    </w:p>
    <w:p w14:paraId="3EEC15B1" w14:textId="77777777" w:rsidR="00B215FF" w:rsidRPr="00691A20" w:rsidRDefault="00B215FF" w:rsidP="00711F17">
      <w:pPr>
        <w:spacing w:before="100" w:beforeAutospacing="1" w:after="100" w:afterAutospacing="1" w:line="240" w:lineRule="auto"/>
        <w:jc w:val="both"/>
        <w:rPr>
          <w:rFonts w:eastAsia="Times New Roman" w:cstheme="minorHAnsi"/>
          <w:lang w:eastAsia="en-GB"/>
        </w:rPr>
      </w:pPr>
      <w:r w:rsidRPr="00691A20">
        <w:rPr>
          <w:rFonts w:eastAsia="Times New Roman" w:cstheme="minorHAnsi"/>
          <w:lang w:eastAsia="en-GB"/>
        </w:rPr>
        <w:t>The Chairman insisted that the questions were to be more direct on this particular tender and the grievance of the appeal.</w:t>
      </w:r>
    </w:p>
    <w:p w14:paraId="0208FB4D"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Further questioning revealed:</w:t>
      </w:r>
    </w:p>
    <w:p w14:paraId="2D9D5DD7" w14:textId="77777777" w:rsidR="00B215FF" w:rsidRPr="00691A20" w:rsidRDefault="00B215FF" w:rsidP="00CA58E5">
      <w:pPr>
        <w:numPr>
          <w:ilvl w:val="0"/>
          <w:numId w:val="3"/>
        </w:num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Out of 16 tenders, 10 had already been awarded and works had begun.</w:t>
      </w:r>
    </w:p>
    <w:p w14:paraId="0925C2AC" w14:textId="77777777" w:rsidR="00B215FF" w:rsidRPr="00691A20" w:rsidRDefault="00B215FF" w:rsidP="00CA58E5">
      <w:pPr>
        <w:numPr>
          <w:ilvl w:val="0"/>
          <w:numId w:val="3"/>
        </w:num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Only one tender was found non-compliant and was not appealed.</w:t>
      </w:r>
    </w:p>
    <w:p w14:paraId="08AA087F" w14:textId="77777777" w:rsidR="00B215FF" w:rsidRPr="00691A20" w:rsidRDefault="00B215FF" w:rsidP="00CA58E5">
      <w:pPr>
        <w:numPr>
          <w:ilvl w:val="0"/>
          <w:numId w:val="3"/>
        </w:num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One contractor had been awarded five bids, while the others went to different contractors.</w:t>
      </w:r>
    </w:p>
    <w:p w14:paraId="7E14929A"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lastRenderedPageBreak/>
        <w:t xml:space="preserve">The Chairman stated that the information is all corroborated on the </w:t>
      </w:r>
      <w:proofErr w:type="spellStart"/>
      <w:r w:rsidRPr="00691A20">
        <w:rPr>
          <w:rFonts w:eastAsia="Times New Roman" w:cs="Times New Roman"/>
          <w:lang w:eastAsia="en-GB"/>
        </w:rPr>
        <w:t>ePPs</w:t>
      </w:r>
      <w:proofErr w:type="spellEnd"/>
      <w:r w:rsidRPr="00691A20">
        <w:rPr>
          <w:rFonts w:eastAsia="Times New Roman" w:cs="Times New Roman"/>
          <w:lang w:eastAsia="en-GB"/>
        </w:rPr>
        <w:t>.</w:t>
      </w:r>
    </w:p>
    <w:p w14:paraId="76490D10"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 xml:space="preserve">Mr. Buttigieg explained that overlapping works—for example, trenching, laying pipework, and constructing bases for furniture—could cause delays. </w:t>
      </w:r>
      <w:r w:rsidRPr="00691A20">
        <w:rPr>
          <w:rFonts w:eastAsia="Times New Roman" w:cstheme="minorHAnsi"/>
          <w:lang w:eastAsia="en-GB"/>
        </w:rPr>
        <w:t xml:space="preserve">Similarly, the concrete basis for furniture has to be developed by the contractor, which can cause overlapping and delays. </w:t>
      </w:r>
      <w:r w:rsidRPr="00691A20">
        <w:rPr>
          <w:rFonts w:eastAsia="Times New Roman" w:cs="Times New Roman"/>
          <w:lang w:eastAsia="en-GB"/>
        </w:rPr>
        <w:t xml:space="preserve">The irrigation system was crucial </w:t>
      </w:r>
      <w:r w:rsidRPr="00691A20">
        <w:rPr>
          <w:rFonts w:eastAsia="Times New Roman" w:cstheme="minorHAnsi"/>
          <w:lang w:eastAsia="en-GB"/>
        </w:rPr>
        <w:t xml:space="preserve">has a number of pumps and a reservoir </w:t>
      </w:r>
      <w:r w:rsidRPr="00691A20">
        <w:rPr>
          <w:rFonts w:eastAsia="Times New Roman" w:cs="Times New Roman"/>
          <w:lang w:eastAsia="en-GB"/>
        </w:rPr>
        <w:t>and required careful timing, particularly as trees had to be planted between October and March.</w:t>
      </w:r>
    </w:p>
    <w:p w14:paraId="6B870709" w14:textId="77777777" w:rsidR="00B215FF" w:rsidRPr="00691A20" w:rsidRDefault="00B215FF" w:rsidP="00711F17">
      <w:pPr>
        <w:spacing w:before="100" w:beforeAutospacing="1" w:after="100" w:afterAutospacing="1" w:line="240" w:lineRule="auto"/>
        <w:jc w:val="both"/>
        <w:outlineLvl w:val="3"/>
        <w:rPr>
          <w:rFonts w:eastAsia="Times New Roman" w:cs="Times New Roman"/>
          <w:b/>
          <w:bCs/>
          <w:lang w:eastAsia="en-GB"/>
        </w:rPr>
      </w:pPr>
      <w:r w:rsidRPr="00691A20">
        <w:rPr>
          <w:rFonts w:eastAsia="Times New Roman" w:cs="Times New Roman"/>
          <w:b/>
          <w:bCs/>
          <w:lang w:eastAsia="en-GB"/>
        </w:rPr>
        <w:t>Cross-Examination by Dr. Jonathan Thompson</w:t>
      </w:r>
    </w:p>
    <w:p w14:paraId="3625D796"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Dr. Thompson quoted:</w:t>
      </w:r>
    </w:p>
    <w:p w14:paraId="64CC5DF2" w14:textId="77777777" w:rsidR="00B215FF" w:rsidRPr="00691A20" w:rsidRDefault="00B215FF" w:rsidP="00711F17">
      <w:pPr>
        <w:spacing w:before="100" w:beforeAutospacing="1" w:after="100" w:afterAutospacing="1" w:line="240" w:lineRule="auto"/>
        <w:jc w:val="both"/>
        <w:rPr>
          <w:rFonts w:eastAsia="Times New Roman" w:cs="Times New Roman"/>
          <w:i/>
          <w:iCs/>
          <w:lang w:eastAsia="en-GB"/>
        </w:rPr>
      </w:pPr>
      <w:r w:rsidRPr="00691A20">
        <w:rPr>
          <w:rFonts w:eastAsia="Times New Roman" w:cs="Times New Roman"/>
          <w:i/>
          <w:iCs/>
          <w:lang w:eastAsia="en-GB"/>
        </w:rPr>
        <w:t>‘Separating the works into different contract would risk creating anomalies regarding the responsibility boundaries of the different contractors doing the works included in the different contracts since most of the work items are not completely independent of each other’.</w:t>
      </w:r>
    </w:p>
    <w:p w14:paraId="0F3CFF8F"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He highlighted that the irrigation system runs throughout the entire project. Mr. Buttigieg confirmed that reservoirs must be built first, followed by pumps, and finally landscaping.</w:t>
      </w:r>
    </w:p>
    <w:p w14:paraId="3224C0FB" w14:textId="77777777" w:rsidR="00B215FF" w:rsidRPr="00691A20" w:rsidRDefault="00B215FF" w:rsidP="00711F17">
      <w:pPr>
        <w:spacing w:before="100" w:beforeAutospacing="1" w:after="100" w:afterAutospacing="1" w:line="240" w:lineRule="auto"/>
        <w:jc w:val="both"/>
        <w:outlineLvl w:val="2"/>
        <w:rPr>
          <w:rFonts w:eastAsia="Times New Roman" w:cs="Times New Roman"/>
          <w:b/>
          <w:bCs/>
          <w:lang w:eastAsia="en-GB"/>
        </w:rPr>
      </w:pPr>
      <w:r w:rsidRPr="00691A20">
        <w:rPr>
          <w:rFonts w:eastAsia="Times New Roman" w:cs="Times New Roman"/>
          <w:b/>
          <w:bCs/>
          <w:lang w:eastAsia="en-GB"/>
        </w:rPr>
        <w:t>Witness: Mr. Desmond Mizzi ID no. 465463M (Summoned by Dr. Adrian Delia)</w:t>
      </w:r>
    </w:p>
    <w:p w14:paraId="470C2138"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 xml:space="preserve">Mr. Mizzi testified that he has invested in </w:t>
      </w:r>
      <w:proofErr w:type="spellStart"/>
      <w:r w:rsidRPr="00691A20">
        <w:rPr>
          <w:rFonts w:eastAsia="Times New Roman" w:cs="Times New Roman"/>
          <w:lang w:eastAsia="en-GB"/>
        </w:rPr>
        <w:t>Projekte</w:t>
      </w:r>
      <w:proofErr w:type="spellEnd"/>
      <w:r w:rsidRPr="00691A20">
        <w:rPr>
          <w:rFonts w:eastAsia="Times New Roman" w:cs="Times New Roman"/>
          <w:lang w:eastAsia="en-GB"/>
        </w:rPr>
        <w:t xml:space="preserve"> Global Ltd. for 30 years. The company specialises in street furniture, play equipment, and soft flooring. He noted that tenders are usually divided into lots, and contractors coordinate with project managers accordingly.</w:t>
      </w:r>
    </w:p>
    <w:p w14:paraId="3763387C"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He compared the Msida project with others:</w:t>
      </w:r>
    </w:p>
    <w:p w14:paraId="747AD066" w14:textId="77777777" w:rsidR="00B215FF" w:rsidRPr="00691A20" w:rsidRDefault="00B215FF" w:rsidP="00CA58E5">
      <w:pPr>
        <w:numPr>
          <w:ilvl w:val="0"/>
          <w:numId w:val="4"/>
        </w:num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A larger project in Naxxar was completed for half the cost of the Msida project, but it did not include a reservoir.</w:t>
      </w:r>
    </w:p>
    <w:p w14:paraId="2699D3B7" w14:textId="77777777" w:rsidR="00B215FF" w:rsidRPr="00691A20" w:rsidRDefault="00B215FF" w:rsidP="00CA58E5">
      <w:pPr>
        <w:numPr>
          <w:ilvl w:val="0"/>
          <w:numId w:val="4"/>
        </w:num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In another case (</w:t>
      </w:r>
      <w:proofErr w:type="spellStart"/>
      <w:r w:rsidRPr="00691A20">
        <w:rPr>
          <w:rFonts w:eastAsia="Times New Roman" w:cs="Times New Roman"/>
          <w:lang w:eastAsia="en-GB"/>
        </w:rPr>
        <w:t>Wasteserv’s</w:t>
      </w:r>
      <w:proofErr w:type="spellEnd"/>
      <w:r w:rsidRPr="00691A20">
        <w:rPr>
          <w:rFonts w:eastAsia="Times New Roman" w:cs="Times New Roman"/>
          <w:lang w:eastAsia="en-GB"/>
        </w:rPr>
        <w:t xml:space="preserve"> conversion of a rubbish dump into a family park), the works were divided among three contractors.</w:t>
      </w:r>
    </w:p>
    <w:p w14:paraId="765BD44A"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He argued that finishing works, such as soft flooring, must be done in clean spaces, not during ongoing construction.</w:t>
      </w:r>
    </w:p>
    <w:p w14:paraId="3BEC1FA8" w14:textId="77777777" w:rsidR="00B215FF" w:rsidRPr="00691A20" w:rsidRDefault="00B215FF" w:rsidP="00711F17">
      <w:pPr>
        <w:spacing w:before="100" w:beforeAutospacing="1" w:after="100" w:afterAutospacing="1" w:line="240" w:lineRule="auto"/>
        <w:jc w:val="both"/>
        <w:outlineLvl w:val="3"/>
        <w:rPr>
          <w:rFonts w:eastAsia="Times New Roman" w:cs="Times New Roman"/>
          <w:lang w:eastAsia="en-GB"/>
        </w:rPr>
      </w:pPr>
      <w:r w:rsidRPr="00691A20">
        <w:rPr>
          <w:rFonts w:eastAsia="Times New Roman" w:cs="Times New Roman"/>
          <w:lang w:eastAsia="en-GB"/>
        </w:rPr>
        <w:t>Previously the Local Council took the money from MEPA and the Government, and the Council would make its designs. Today the Councils are all under one roof and the designs are accommodating only two particular contractors. All tenders are tailor made for certain products and our Company do not conform to these products. Only one supplier is conforming to these products, and he referred to the Fgura Tender.</w:t>
      </w:r>
    </w:p>
    <w:p w14:paraId="6C8744C6" w14:textId="77777777" w:rsidR="00B215FF" w:rsidRPr="00691A20" w:rsidRDefault="00B215FF" w:rsidP="00711F17">
      <w:pPr>
        <w:spacing w:before="100" w:beforeAutospacing="1" w:after="100" w:afterAutospacing="1" w:line="240" w:lineRule="auto"/>
        <w:jc w:val="both"/>
        <w:outlineLvl w:val="3"/>
        <w:rPr>
          <w:rFonts w:eastAsia="Times New Roman" w:cs="Times New Roman"/>
          <w:lang w:eastAsia="en-GB"/>
        </w:rPr>
      </w:pPr>
      <w:r w:rsidRPr="00691A20">
        <w:rPr>
          <w:rFonts w:eastAsia="Times New Roman" w:cs="Times New Roman"/>
          <w:lang w:eastAsia="en-GB"/>
        </w:rPr>
        <w:t>Dr Thompson objected that they were not referring to the appeal in question.</w:t>
      </w:r>
    </w:p>
    <w:p w14:paraId="1C664A7B" w14:textId="77777777" w:rsidR="00B215FF" w:rsidRPr="00691A20" w:rsidRDefault="00B215FF" w:rsidP="00711F17">
      <w:pPr>
        <w:spacing w:before="100" w:beforeAutospacing="1" w:after="100" w:afterAutospacing="1" w:line="240" w:lineRule="auto"/>
        <w:jc w:val="both"/>
        <w:outlineLvl w:val="3"/>
        <w:rPr>
          <w:rFonts w:eastAsia="Times New Roman" w:cs="Times New Roman"/>
          <w:lang w:eastAsia="en-GB"/>
        </w:rPr>
      </w:pPr>
      <w:r w:rsidRPr="00691A20">
        <w:rPr>
          <w:rFonts w:eastAsia="Times New Roman" w:cs="Times New Roman"/>
          <w:lang w:eastAsia="en-GB"/>
        </w:rPr>
        <w:t>Dr Delia emphasised that the information given by Mr. Mizzi applied also to the Msida Tender.</w:t>
      </w:r>
    </w:p>
    <w:p w14:paraId="1B440F8D" w14:textId="77777777" w:rsidR="00B215FF" w:rsidRPr="00691A20" w:rsidRDefault="00B215FF" w:rsidP="00711F17">
      <w:pPr>
        <w:spacing w:before="100" w:beforeAutospacing="1" w:after="100" w:afterAutospacing="1" w:line="240" w:lineRule="auto"/>
        <w:jc w:val="both"/>
        <w:outlineLvl w:val="3"/>
        <w:rPr>
          <w:rFonts w:eastAsia="Times New Roman" w:cs="Times New Roman"/>
          <w:lang w:eastAsia="en-GB"/>
        </w:rPr>
      </w:pPr>
      <w:r w:rsidRPr="00691A20">
        <w:rPr>
          <w:rFonts w:eastAsia="Times New Roman" w:cs="Times New Roman"/>
          <w:lang w:eastAsia="en-GB"/>
        </w:rPr>
        <w:t>The Chairman stated that the Board will decide on the grievances presented according to the power given by the law of the Public Procurement.</w:t>
      </w:r>
    </w:p>
    <w:p w14:paraId="1D1556E9" w14:textId="77777777" w:rsidR="00B215FF" w:rsidRPr="00691A20" w:rsidRDefault="00B215FF" w:rsidP="00711F17">
      <w:pPr>
        <w:spacing w:before="100" w:beforeAutospacing="1" w:after="100" w:afterAutospacing="1" w:line="240" w:lineRule="auto"/>
        <w:jc w:val="both"/>
        <w:outlineLvl w:val="3"/>
        <w:rPr>
          <w:rFonts w:eastAsia="Times New Roman" w:cs="Times New Roman"/>
          <w:lang w:eastAsia="en-GB"/>
        </w:rPr>
      </w:pPr>
      <w:r w:rsidRPr="00691A20">
        <w:rPr>
          <w:rFonts w:eastAsia="Times New Roman" w:cs="Times New Roman"/>
          <w:lang w:eastAsia="en-GB"/>
        </w:rPr>
        <w:t xml:space="preserve">Mr. Mizzi stated that he was referring to the Fgura tender as it was bigger. He mentioned three documents, a quotation from Hard rock, the tender requirements of Project Green and the submissions by </w:t>
      </w:r>
      <w:proofErr w:type="spellStart"/>
      <w:r w:rsidRPr="00691A20">
        <w:rPr>
          <w:rFonts w:eastAsia="Times New Roman" w:cs="Times New Roman"/>
          <w:lang w:eastAsia="en-GB"/>
        </w:rPr>
        <w:t>Projekte</w:t>
      </w:r>
      <w:proofErr w:type="spellEnd"/>
      <w:r w:rsidRPr="00691A20">
        <w:rPr>
          <w:rFonts w:eastAsia="Times New Roman" w:cs="Times New Roman"/>
          <w:lang w:eastAsia="en-GB"/>
        </w:rPr>
        <w:t xml:space="preserve"> Global Ltd. Out of 40 Companies worldwide only 3 can supply Project’s Green </w:t>
      </w:r>
      <w:r w:rsidRPr="00691A20">
        <w:rPr>
          <w:rFonts w:eastAsia="Times New Roman" w:cs="Times New Roman"/>
          <w:lang w:eastAsia="en-GB"/>
        </w:rPr>
        <w:lastRenderedPageBreak/>
        <w:t>requirements and always the same Company in Malta. Bidders have to purchase the product from this Company to be able to supply.</w:t>
      </w:r>
    </w:p>
    <w:p w14:paraId="56B3F572" w14:textId="77777777" w:rsidR="00B215FF" w:rsidRPr="00691A20" w:rsidRDefault="00B215FF" w:rsidP="00711F17">
      <w:pPr>
        <w:spacing w:before="100" w:beforeAutospacing="1" w:after="100" w:afterAutospacing="1" w:line="240" w:lineRule="auto"/>
        <w:jc w:val="both"/>
        <w:outlineLvl w:val="3"/>
        <w:rPr>
          <w:rFonts w:eastAsia="Times New Roman" w:cs="Times New Roman"/>
          <w:lang w:eastAsia="en-GB"/>
        </w:rPr>
      </w:pPr>
      <w:r w:rsidRPr="00691A20">
        <w:rPr>
          <w:rFonts w:eastAsia="Times New Roman" w:cs="Times New Roman"/>
          <w:lang w:eastAsia="en-GB"/>
        </w:rPr>
        <w:t>Dr Thompson objected that this was not the grievance in question. If the grievance was about a specific product required where the competition was limited it would have been a different appeal. According to the witness, the grievance was that the tender had to be divided into lots. Evidently the appellant can submit for one lot and not the others. The appellant feels that he is being excluded and cannot participate. Dr Thompson stated that it is not proper for the witness to allege this information which is completely different to the base of the appeal.</w:t>
      </w:r>
    </w:p>
    <w:p w14:paraId="50DBF739" w14:textId="77777777" w:rsidR="00B215FF" w:rsidRPr="00691A20" w:rsidRDefault="00B215FF" w:rsidP="00711F17">
      <w:pPr>
        <w:spacing w:before="100" w:beforeAutospacing="1" w:after="100" w:afterAutospacing="1" w:line="240" w:lineRule="auto"/>
        <w:jc w:val="both"/>
        <w:outlineLvl w:val="3"/>
        <w:rPr>
          <w:rFonts w:eastAsia="Times New Roman" w:cs="Times New Roman"/>
          <w:lang w:eastAsia="en-GB"/>
        </w:rPr>
      </w:pPr>
      <w:r w:rsidRPr="00691A20">
        <w:rPr>
          <w:rFonts w:eastAsia="Times New Roman" w:cs="Times New Roman"/>
          <w:lang w:eastAsia="en-GB"/>
        </w:rPr>
        <w:t>Dr Delia said that the witness can testify so that the Board can draw the relative information.</w:t>
      </w:r>
    </w:p>
    <w:p w14:paraId="21A81343" w14:textId="77777777" w:rsidR="00B215FF" w:rsidRPr="00691A20" w:rsidRDefault="00B215FF" w:rsidP="00711F17">
      <w:pPr>
        <w:spacing w:before="100" w:beforeAutospacing="1" w:after="100" w:afterAutospacing="1" w:line="240" w:lineRule="auto"/>
        <w:jc w:val="both"/>
        <w:outlineLvl w:val="3"/>
        <w:rPr>
          <w:rFonts w:eastAsia="Times New Roman" w:cs="Times New Roman"/>
          <w:lang w:eastAsia="en-GB"/>
        </w:rPr>
      </w:pPr>
      <w:r w:rsidRPr="00691A20">
        <w:rPr>
          <w:rFonts w:eastAsia="Times New Roman" w:cs="Times New Roman"/>
          <w:lang w:eastAsia="en-GB"/>
        </w:rPr>
        <w:t>The Chairman accepted the objection.</w:t>
      </w:r>
    </w:p>
    <w:p w14:paraId="47F7A4BE" w14:textId="77777777" w:rsidR="00B215FF" w:rsidRPr="00691A20" w:rsidRDefault="00B215FF" w:rsidP="00711F17">
      <w:pPr>
        <w:spacing w:before="100" w:beforeAutospacing="1" w:after="100" w:afterAutospacing="1" w:line="240" w:lineRule="auto"/>
        <w:jc w:val="both"/>
        <w:outlineLvl w:val="3"/>
        <w:rPr>
          <w:rFonts w:eastAsia="Times New Roman" w:cs="Times New Roman"/>
          <w:lang w:eastAsia="en-GB"/>
        </w:rPr>
      </w:pPr>
      <w:r w:rsidRPr="00691A20">
        <w:rPr>
          <w:rFonts w:eastAsia="Times New Roman" w:cs="Times New Roman"/>
          <w:lang w:eastAsia="en-GB"/>
        </w:rPr>
        <w:t>Mr. Mizzi stated that they are generally asked to make a consortium with all contractors involved or talk to a Project Manager from the Council. The contractors give all the needed preparations in the data sheet. If the tender was divided into lots, it would have taken less time. Everybody does his part according to the plan.</w:t>
      </w:r>
    </w:p>
    <w:p w14:paraId="0277D7BB" w14:textId="77777777" w:rsidR="00B215FF" w:rsidRPr="00691A20" w:rsidRDefault="00B215FF" w:rsidP="00711F17">
      <w:pPr>
        <w:spacing w:before="100" w:beforeAutospacing="1" w:after="100" w:afterAutospacing="1" w:line="240" w:lineRule="auto"/>
        <w:jc w:val="both"/>
        <w:outlineLvl w:val="3"/>
        <w:rPr>
          <w:rFonts w:eastAsia="Times New Roman" w:cs="Times New Roman"/>
          <w:b/>
          <w:bCs/>
          <w:lang w:eastAsia="en-GB"/>
        </w:rPr>
      </w:pPr>
      <w:r w:rsidRPr="00691A20">
        <w:rPr>
          <w:rFonts w:eastAsia="Times New Roman" w:cs="Times New Roman"/>
          <w:b/>
          <w:bCs/>
          <w:lang w:eastAsia="en-GB"/>
        </w:rPr>
        <w:t>Cross-Examination by Dr. Jonathan Thompson</w:t>
      </w:r>
    </w:p>
    <w:p w14:paraId="4A9BD815"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 xml:space="preserve">Mr. Mizzi admitted he did not consider participating as a sub-contractor because the designs required were limited to products supplied only by one company in Malta (Hardrock’s) or a French-owned supplier, Malta Design. If the brand name is not the same than the product is not accepted. </w:t>
      </w:r>
      <w:proofErr w:type="spellStart"/>
      <w:r w:rsidRPr="00691A20">
        <w:rPr>
          <w:rFonts w:eastAsia="Times New Roman" w:cs="Times New Roman"/>
          <w:lang w:eastAsia="en-GB"/>
        </w:rPr>
        <w:t>Projekte</w:t>
      </w:r>
      <w:proofErr w:type="spellEnd"/>
      <w:r w:rsidRPr="00691A20">
        <w:rPr>
          <w:rFonts w:eastAsia="Times New Roman" w:cs="Times New Roman"/>
          <w:lang w:eastAsia="en-GB"/>
        </w:rPr>
        <w:t xml:space="preserve"> Global Ltd. has around twenty suppliers worldwide however, Project Green requests specific products owned only by the French man.</w:t>
      </w:r>
    </w:p>
    <w:p w14:paraId="57BD6B7B"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A recent tender in Gozo requested recycled material for benches that had to come from fishing nets and only this one Company can supply these products. Project Green is limited for the design and size of the products of this Company.</w:t>
      </w:r>
    </w:p>
    <w:p w14:paraId="18D133F7" w14:textId="77777777" w:rsidR="00B215FF" w:rsidRPr="00691A20" w:rsidRDefault="00B215FF" w:rsidP="00711F17">
      <w:pPr>
        <w:spacing w:before="100" w:beforeAutospacing="1" w:after="100" w:afterAutospacing="1" w:line="240" w:lineRule="auto"/>
        <w:jc w:val="both"/>
        <w:outlineLvl w:val="0"/>
        <w:rPr>
          <w:rFonts w:eastAsia="Times New Roman" w:cs="Times New Roman"/>
          <w:b/>
          <w:bCs/>
          <w:kern w:val="36"/>
          <w:lang w:eastAsia="en-GB"/>
        </w:rPr>
      </w:pPr>
      <w:r w:rsidRPr="00691A20">
        <w:rPr>
          <w:rFonts w:eastAsia="Times New Roman" w:cs="Times New Roman"/>
          <w:b/>
          <w:bCs/>
          <w:kern w:val="36"/>
          <w:lang w:eastAsia="en-GB"/>
        </w:rPr>
        <w:t>Final Submissions</w:t>
      </w:r>
    </w:p>
    <w:p w14:paraId="2CC33BE3" w14:textId="77777777" w:rsidR="00B215FF" w:rsidRPr="00691A20" w:rsidRDefault="00B215FF" w:rsidP="00711F17">
      <w:pPr>
        <w:spacing w:before="100" w:beforeAutospacing="1" w:after="100" w:afterAutospacing="1" w:line="240" w:lineRule="auto"/>
        <w:jc w:val="both"/>
        <w:outlineLvl w:val="2"/>
        <w:rPr>
          <w:rFonts w:eastAsia="Times New Roman" w:cs="Times New Roman"/>
          <w:b/>
          <w:bCs/>
          <w:lang w:eastAsia="en-GB"/>
        </w:rPr>
      </w:pPr>
      <w:r w:rsidRPr="00691A20">
        <w:rPr>
          <w:rFonts w:eastAsia="Times New Roman" w:cs="Times New Roman"/>
          <w:b/>
          <w:bCs/>
          <w:lang w:eastAsia="en-GB"/>
        </w:rPr>
        <w:t>Final Submissions by the Appellant (Dr. Adrian Delia)</w:t>
      </w:r>
    </w:p>
    <w:p w14:paraId="58DD2CEF" w14:textId="77777777" w:rsidR="00B215FF" w:rsidRPr="00691A20" w:rsidRDefault="00B215FF" w:rsidP="00711F17">
      <w:pPr>
        <w:spacing w:before="100" w:beforeAutospacing="1" w:after="100" w:afterAutospacing="1" w:line="240" w:lineRule="auto"/>
        <w:jc w:val="both"/>
        <w:outlineLvl w:val="3"/>
        <w:rPr>
          <w:rFonts w:eastAsia="Times New Roman" w:cs="Times New Roman"/>
          <w:lang w:eastAsia="en-GB"/>
        </w:rPr>
      </w:pPr>
      <w:r w:rsidRPr="00691A20">
        <w:rPr>
          <w:rFonts w:eastAsia="Times New Roman" w:cs="Times New Roman"/>
          <w:lang w:eastAsia="en-GB"/>
        </w:rPr>
        <w:t>Dr Delia referred to the base of law, article 36 of the PPR and article 76 where one dictates that the Contracting Authority may divide into lots. Regulation 39 of the Public Procurement and he quotes:</w:t>
      </w:r>
    </w:p>
    <w:p w14:paraId="3811B2E1" w14:textId="77777777" w:rsidR="00B215FF" w:rsidRPr="00691A20" w:rsidRDefault="00B215FF" w:rsidP="00711F17">
      <w:pPr>
        <w:spacing w:before="100" w:beforeAutospacing="1" w:after="100" w:afterAutospacing="1" w:line="240" w:lineRule="auto"/>
        <w:jc w:val="both"/>
        <w:outlineLvl w:val="3"/>
        <w:rPr>
          <w:rFonts w:eastAsia="Times New Roman" w:cs="Times New Roman"/>
          <w:i/>
          <w:iCs/>
          <w:lang w:eastAsia="en-GB"/>
        </w:rPr>
      </w:pPr>
      <w:r w:rsidRPr="00691A20">
        <w:rPr>
          <w:rFonts w:eastAsia="Times New Roman" w:cs="Times New Roman"/>
          <w:i/>
          <w:iCs/>
          <w:lang w:eastAsia="en-GB"/>
        </w:rPr>
        <w:t>‘Contracting Authority’s shall treat economic operators equally and without discrimination and shall act in a transparent and proportionate manner. The design of the procurement shall not be made with the intention of excluding it from the scope of this directive or of artificially narrowing competition. Competition shall be considered to be artificial to the design of the Procurement is made with the intention of unduly favouring or disadvantaging certain economic operators.’</w:t>
      </w:r>
    </w:p>
    <w:p w14:paraId="1A08245A" w14:textId="77777777" w:rsidR="00B215FF" w:rsidRPr="00691A20" w:rsidRDefault="00B215FF" w:rsidP="00711F17">
      <w:pPr>
        <w:spacing w:before="100" w:beforeAutospacing="1" w:after="100" w:afterAutospacing="1" w:line="240" w:lineRule="auto"/>
        <w:jc w:val="both"/>
        <w:outlineLvl w:val="3"/>
        <w:rPr>
          <w:rFonts w:eastAsia="Times New Roman" w:cs="Times New Roman"/>
          <w:lang w:eastAsia="en-GB"/>
        </w:rPr>
      </w:pPr>
      <w:r w:rsidRPr="00691A20">
        <w:rPr>
          <w:rFonts w:eastAsia="Times New Roman" w:cs="Times New Roman"/>
          <w:lang w:eastAsia="en-GB"/>
        </w:rPr>
        <w:t xml:space="preserve">The contest was relevant because the requirements requested would have been non-compliant. Why is it excessively difficult to fix a bench, with bolts or to have pipes after a reservoir is built. The Board is expected to give a firm reason why such things are excessively difficult, and if </w:t>
      </w:r>
      <w:proofErr w:type="spellStart"/>
      <w:r w:rsidRPr="00691A20">
        <w:rPr>
          <w:rFonts w:eastAsia="Times New Roman" w:cs="Times New Roman"/>
          <w:lang w:eastAsia="en-GB"/>
        </w:rPr>
        <w:t>Projekte</w:t>
      </w:r>
      <w:proofErr w:type="spellEnd"/>
      <w:r w:rsidRPr="00691A20">
        <w:rPr>
          <w:rFonts w:eastAsia="Times New Roman" w:cs="Times New Roman"/>
          <w:lang w:eastAsia="en-GB"/>
        </w:rPr>
        <w:t xml:space="preserve"> Global Ltd had no reason to appeal.</w:t>
      </w:r>
    </w:p>
    <w:p w14:paraId="45675687" w14:textId="77777777" w:rsidR="00B215FF" w:rsidRPr="00691A20" w:rsidRDefault="00B215FF" w:rsidP="00711F17">
      <w:pPr>
        <w:spacing w:before="100" w:beforeAutospacing="1" w:after="100" w:afterAutospacing="1" w:line="240" w:lineRule="auto"/>
        <w:jc w:val="both"/>
        <w:outlineLvl w:val="2"/>
        <w:rPr>
          <w:rFonts w:eastAsia="Times New Roman" w:cs="Times New Roman"/>
          <w:b/>
          <w:bCs/>
          <w:lang w:eastAsia="en-GB"/>
        </w:rPr>
      </w:pPr>
      <w:r w:rsidRPr="00691A20">
        <w:rPr>
          <w:rFonts w:eastAsia="Times New Roman" w:cs="Times New Roman"/>
          <w:b/>
          <w:bCs/>
          <w:lang w:eastAsia="en-GB"/>
        </w:rPr>
        <w:t>Final Submissions by the Contracting Authority (Dr. Jonathan Thompson)</w:t>
      </w:r>
    </w:p>
    <w:p w14:paraId="286F5DF9" w14:textId="77777777" w:rsidR="00B215FF" w:rsidRPr="00691A20" w:rsidRDefault="00B215FF" w:rsidP="00711F17">
      <w:pPr>
        <w:spacing w:before="100" w:beforeAutospacing="1" w:after="100" w:afterAutospacing="1" w:line="240" w:lineRule="auto"/>
        <w:jc w:val="both"/>
        <w:outlineLvl w:val="3"/>
        <w:rPr>
          <w:rFonts w:eastAsia="Times New Roman" w:cs="Times New Roman"/>
          <w:lang w:eastAsia="en-GB"/>
        </w:rPr>
      </w:pPr>
      <w:r w:rsidRPr="00691A20">
        <w:rPr>
          <w:rFonts w:eastAsia="Times New Roman" w:cs="Times New Roman"/>
          <w:lang w:eastAsia="en-GB"/>
        </w:rPr>
        <w:lastRenderedPageBreak/>
        <w:t>Dr. Thompson countered that Regulation 39 was not the basis of this appeal. The appeal states an allegation that this tender could have easily been divided into two lots. Both article 33 and article 46 of the Directive state that the Contracting Authority may decide to award the contract into separate lots. The appellant thought that since the contract was not divided in two lots, he was excluded from participating.</w:t>
      </w:r>
    </w:p>
    <w:p w14:paraId="5374E6A2" w14:textId="77777777" w:rsidR="00B215FF" w:rsidRPr="00691A20" w:rsidRDefault="00B215FF" w:rsidP="00711F17">
      <w:pPr>
        <w:spacing w:before="100" w:beforeAutospacing="1" w:after="100" w:afterAutospacing="1" w:line="240" w:lineRule="auto"/>
        <w:jc w:val="both"/>
        <w:outlineLvl w:val="3"/>
        <w:rPr>
          <w:rFonts w:eastAsia="Times New Roman" w:cs="Times New Roman"/>
          <w:lang w:eastAsia="en-GB"/>
        </w:rPr>
      </w:pPr>
      <w:r w:rsidRPr="00691A20">
        <w:rPr>
          <w:rFonts w:eastAsia="Times New Roman" w:cs="Times New Roman"/>
          <w:lang w:eastAsia="en-GB"/>
        </w:rPr>
        <w:t>The Directive, in article 19 provides and he quotes:</w:t>
      </w:r>
    </w:p>
    <w:p w14:paraId="46C0B223" w14:textId="77777777" w:rsidR="00B215FF" w:rsidRPr="00691A20" w:rsidRDefault="00B215FF" w:rsidP="00711F17">
      <w:pPr>
        <w:spacing w:before="100" w:beforeAutospacing="1" w:after="100" w:afterAutospacing="1" w:line="240" w:lineRule="auto"/>
        <w:jc w:val="both"/>
        <w:outlineLvl w:val="3"/>
        <w:rPr>
          <w:rFonts w:eastAsia="Times New Roman" w:cs="Times New Roman"/>
          <w:i/>
          <w:iCs/>
          <w:lang w:eastAsia="en-GB"/>
        </w:rPr>
      </w:pPr>
      <w:r w:rsidRPr="00691A20">
        <w:rPr>
          <w:rFonts w:eastAsia="Times New Roman" w:cs="Times New Roman"/>
          <w:i/>
          <w:iCs/>
          <w:lang w:eastAsia="en-GB"/>
        </w:rPr>
        <w:t>‘Groups of economic operators including temporary associations may participate in Procurements Procedures.’</w:t>
      </w:r>
    </w:p>
    <w:p w14:paraId="697EC805" w14:textId="77777777" w:rsidR="00B215FF" w:rsidRPr="00691A20" w:rsidRDefault="00B215FF" w:rsidP="00711F17">
      <w:pPr>
        <w:spacing w:before="100" w:beforeAutospacing="1" w:after="100" w:afterAutospacing="1" w:line="240" w:lineRule="auto"/>
        <w:jc w:val="both"/>
        <w:outlineLvl w:val="3"/>
        <w:rPr>
          <w:rFonts w:eastAsia="Times New Roman" w:cs="Times New Roman"/>
          <w:lang w:eastAsia="en-GB"/>
        </w:rPr>
      </w:pPr>
      <w:r w:rsidRPr="00691A20">
        <w:rPr>
          <w:rFonts w:eastAsia="Times New Roman" w:cs="Times New Roman"/>
          <w:lang w:eastAsia="en-GB"/>
        </w:rPr>
        <w:t>The tender permits joint ventures, sub-contractors, companies where one can offer the Contracting Authority’s requests. This is what the other eleven participants who submitted in similar procedures. The tender is not restricting competition. The Contracting Authority takes what it needs to exhibit in the public interest.</w:t>
      </w:r>
    </w:p>
    <w:p w14:paraId="3FCC69D1" w14:textId="77777777" w:rsidR="00B215FF" w:rsidRPr="00691A20" w:rsidRDefault="00B215FF" w:rsidP="00711F17">
      <w:pPr>
        <w:spacing w:before="100" w:beforeAutospacing="1" w:after="100" w:afterAutospacing="1" w:line="240" w:lineRule="auto"/>
        <w:jc w:val="both"/>
        <w:outlineLvl w:val="3"/>
        <w:rPr>
          <w:rFonts w:eastAsia="Times New Roman" w:cs="Times New Roman"/>
          <w:lang w:eastAsia="en-GB"/>
        </w:rPr>
      </w:pPr>
      <w:r w:rsidRPr="00691A20">
        <w:rPr>
          <w:rFonts w:eastAsia="Times New Roman" w:cs="Times New Roman"/>
          <w:lang w:eastAsia="en-GB"/>
        </w:rPr>
        <w:t>Recital 78 of the directive states the need to co-ordinate the different contractors for the job could seriously undermine the proper execution of the contract. Referring to Case 1741 of 2022 where this Board concluded, and he quotes:</w:t>
      </w:r>
    </w:p>
    <w:p w14:paraId="20045663" w14:textId="77777777" w:rsidR="00B215FF" w:rsidRPr="00691A20" w:rsidRDefault="00B215FF" w:rsidP="00711F17">
      <w:pPr>
        <w:spacing w:before="100" w:beforeAutospacing="1" w:after="100" w:afterAutospacing="1" w:line="240" w:lineRule="auto"/>
        <w:jc w:val="both"/>
        <w:outlineLvl w:val="3"/>
        <w:rPr>
          <w:rFonts w:eastAsia="Times New Roman" w:cs="Times New Roman"/>
          <w:i/>
          <w:iCs/>
          <w:lang w:eastAsia="en-GB"/>
        </w:rPr>
      </w:pPr>
      <w:r w:rsidRPr="00691A20">
        <w:rPr>
          <w:rFonts w:eastAsia="Times New Roman" w:cs="Times New Roman"/>
          <w:lang w:eastAsia="en-GB"/>
        </w:rPr>
        <w:t>‘It</w:t>
      </w:r>
      <w:r w:rsidRPr="00691A20">
        <w:rPr>
          <w:rFonts w:eastAsia="Times New Roman" w:cs="Times New Roman"/>
          <w:i/>
          <w:iCs/>
          <w:lang w:eastAsia="en-GB"/>
        </w:rPr>
        <w:t xml:space="preserve"> is to be noted that the prerogative of dividing the tendering procedure into lots, rests with the Contracting Authority.’ </w:t>
      </w:r>
    </w:p>
    <w:p w14:paraId="6172D72C" w14:textId="77777777" w:rsidR="00B215FF" w:rsidRPr="00691A20" w:rsidRDefault="00B215FF" w:rsidP="00711F17">
      <w:pPr>
        <w:spacing w:before="100" w:beforeAutospacing="1" w:after="100" w:afterAutospacing="1" w:line="240" w:lineRule="auto"/>
        <w:jc w:val="both"/>
        <w:outlineLvl w:val="3"/>
        <w:rPr>
          <w:rFonts w:eastAsia="Times New Roman" w:cs="Times New Roman"/>
          <w:lang w:eastAsia="en-GB"/>
        </w:rPr>
      </w:pPr>
      <w:r w:rsidRPr="00691A20">
        <w:rPr>
          <w:rFonts w:eastAsia="Times New Roman" w:cs="Times New Roman"/>
          <w:lang w:eastAsia="en-GB"/>
        </w:rPr>
        <w:t>Regulation 33 will be aroused stating that Contracting Authority may decide to award a contract in the form of several lots and may determine the size and subject matter of such lots. The Board stated that the Contracting Authority acted because in paragraph 3.1 of section 1 of the tender doc ‘specific reasons justifications were provided on why the tender was not divided into lots. The witness testified that eleven contractors participated in other tenders.</w:t>
      </w:r>
    </w:p>
    <w:p w14:paraId="0DB5B091" w14:textId="77777777" w:rsidR="00B215FF" w:rsidRPr="00691A20" w:rsidRDefault="00B215FF" w:rsidP="00711F17">
      <w:pPr>
        <w:spacing w:before="100" w:beforeAutospacing="1" w:after="100" w:afterAutospacing="1" w:line="240" w:lineRule="auto"/>
        <w:jc w:val="both"/>
        <w:outlineLvl w:val="3"/>
        <w:rPr>
          <w:rFonts w:eastAsia="Times New Roman" w:cs="Times New Roman"/>
          <w:lang w:eastAsia="en-GB"/>
        </w:rPr>
      </w:pPr>
      <w:r w:rsidRPr="00691A20">
        <w:rPr>
          <w:rFonts w:eastAsia="Times New Roman" w:cs="Times New Roman"/>
          <w:lang w:eastAsia="en-GB"/>
        </w:rPr>
        <w:t>The appeal was that the tender should have been divided into lots and the requisites according to the law for this tender to be cancelled does not exist. This should cause administrative complications.</w:t>
      </w:r>
    </w:p>
    <w:p w14:paraId="0E436EA4" w14:textId="77777777" w:rsidR="00B215FF" w:rsidRPr="00691A20" w:rsidRDefault="00B215FF" w:rsidP="00711F17">
      <w:pPr>
        <w:spacing w:before="100" w:beforeAutospacing="1" w:after="100" w:afterAutospacing="1" w:line="240" w:lineRule="auto"/>
        <w:jc w:val="both"/>
        <w:outlineLvl w:val="2"/>
        <w:rPr>
          <w:rFonts w:eastAsia="Times New Roman" w:cs="Times New Roman"/>
          <w:b/>
          <w:bCs/>
          <w:lang w:eastAsia="en-GB"/>
        </w:rPr>
      </w:pPr>
      <w:r w:rsidRPr="00691A20">
        <w:rPr>
          <w:rFonts w:eastAsia="Times New Roman" w:cs="Times New Roman"/>
          <w:b/>
          <w:bCs/>
          <w:lang w:eastAsia="en-GB"/>
        </w:rPr>
        <w:t>Kontra-Replica by Dr. Adrian Delia</w:t>
      </w:r>
    </w:p>
    <w:p w14:paraId="4BF83363"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Dr. Delia reiterated four points:</w:t>
      </w:r>
    </w:p>
    <w:p w14:paraId="0BD84472" w14:textId="77777777" w:rsidR="00B215FF" w:rsidRPr="00691A20" w:rsidRDefault="00B215FF" w:rsidP="00CA58E5">
      <w:pPr>
        <w:numPr>
          <w:ilvl w:val="0"/>
          <w:numId w:val="5"/>
        </w:num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Regulation 39 was cited as the basis of the appeal.</w:t>
      </w:r>
    </w:p>
    <w:p w14:paraId="02C676F9" w14:textId="77777777" w:rsidR="00B215FF" w:rsidRPr="00691A20" w:rsidRDefault="00B215FF" w:rsidP="00CA58E5">
      <w:pPr>
        <w:numPr>
          <w:ilvl w:val="0"/>
          <w:numId w:val="5"/>
        </w:num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The appellant had provided citations in its favour.</w:t>
      </w:r>
    </w:p>
    <w:p w14:paraId="12CEF2B8" w14:textId="77777777" w:rsidR="00B215FF" w:rsidRPr="00691A20" w:rsidRDefault="00B215FF" w:rsidP="00CA58E5">
      <w:pPr>
        <w:numPr>
          <w:ilvl w:val="0"/>
          <w:numId w:val="5"/>
        </w:num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Having multiple contractors does not necessarily cause problems—he compared this to football stadiums involving over 100 contractors.</w:t>
      </w:r>
    </w:p>
    <w:p w14:paraId="28424288" w14:textId="77777777" w:rsidR="00B215FF" w:rsidRPr="00691A20" w:rsidRDefault="00B215FF" w:rsidP="00CA58E5">
      <w:pPr>
        <w:numPr>
          <w:ilvl w:val="0"/>
          <w:numId w:val="5"/>
        </w:num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The Board should prioritise competition over claims of “excessive difficulty.”</w:t>
      </w:r>
    </w:p>
    <w:p w14:paraId="10FF230A" w14:textId="77777777" w:rsidR="00B215FF" w:rsidRPr="00691A20" w:rsidRDefault="00B215FF" w:rsidP="00711F17">
      <w:pPr>
        <w:spacing w:before="100" w:beforeAutospacing="1" w:after="100" w:afterAutospacing="1" w:line="240" w:lineRule="auto"/>
        <w:jc w:val="both"/>
        <w:outlineLvl w:val="0"/>
        <w:rPr>
          <w:rFonts w:eastAsia="Times New Roman" w:cs="Times New Roman"/>
          <w:b/>
          <w:bCs/>
          <w:kern w:val="36"/>
          <w:lang w:eastAsia="en-GB"/>
        </w:rPr>
      </w:pPr>
      <w:r w:rsidRPr="00691A20">
        <w:rPr>
          <w:rFonts w:eastAsia="Times New Roman" w:cs="Times New Roman"/>
          <w:b/>
          <w:bCs/>
          <w:kern w:val="36"/>
          <w:lang w:eastAsia="en-GB"/>
        </w:rPr>
        <w:t>Conclusion of the Hearing</w:t>
      </w:r>
    </w:p>
    <w:p w14:paraId="26F002FD" w14:textId="77777777" w:rsidR="00B215FF" w:rsidRPr="00691A20" w:rsidRDefault="00B215FF" w:rsidP="00711F17">
      <w:pPr>
        <w:spacing w:before="100" w:beforeAutospacing="1" w:after="100" w:afterAutospacing="1" w:line="240" w:lineRule="auto"/>
        <w:jc w:val="both"/>
        <w:rPr>
          <w:rFonts w:eastAsia="Times New Roman" w:cs="Times New Roman"/>
          <w:lang w:eastAsia="en-GB"/>
        </w:rPr>
      </w:pPr>
      <w:r w:rsidRPr="00691A20">
        <w:rPr>
          <w:rFonts w:eastAsia="Times New Roman" w:cs="Times New Roman"/>
          <w:lang w:eastAsia="en-GB"/>
        </w:rPr>
        <w:t>With no further arguments, Mr. Kenneth Swain thanked all parties and formally concluded the session.</w:t>
      </w:r>
    </w:p>
    <w:p w14:paraId="617DDBE2" w14:textId="77777777" w:rsidR="00B215FF" w:rsidRDefault="00B215FF" w:rsidP="00711F17">
      <w:pPr>
        <w:spacing w:after="0"/>
        <w:jc w:val="both"/>
        <w:rPr>
          <w:rFonts w:cstheme="minorHAnsi"/>
        </w:rPr>
      </w:pPr>
    </w:p>
    <w:p w14:paraId="3C96FC15" w14:textId="70114480" w:rsidR="00FF1959" w:rsidRPr="002D4F86" w:rsidRDefault="00FF1959" w:rsidP="00711F17">
      <w:pPr>
        <w:spacing w:after="0"/>
        <w:jc w:val="both"/>
        <w:rPr>
          <w:rFonts w:cstheme="minorHAnsi"/>
        </w:rPr>
      </w:pPr>
      <w:r w:rsidRPr="00344FE9">
        <w:rPr>
          <w:rFonts w:cstheme="minorHAnsi"/>
        </w:rPr>
        <w:t>End of Minutes</w:t>
      </w:r>
    </w:p>
    <w:p w14:paraId="07518ED8" w14:textId="77777777" w:rsidR="00FF1959" w:rsidRPr="003E28FB" w:rsidRDefault="00FF1959" w:rsidP="00395106">
      <w:pPr>
        <w:jc w:val="both"/>
        <w:rPr>
          <w:rFonts w:ascii="Garamond" w:hAnsi="Garamond"/>
        </w:rPr>
      </w:pPr>
      <w:r w:rsidRPr="003E28FB">
        <w:t>__________________________________________________________________________________</w:t>
      </w:r>
    </w:p>
    <w:p w14:paraId="71B8ED1A" w14:textId="77777777" w:rsidR="00EF2B74" w:rsidRDefault="00EF2B74" w:rsidP="00FC56FC">
      <w:pPr>
        <w:spacing w:before="120" w:line="360" w:lineRule="auto"/>
        <w:jc w:val="both"/>
        <w:rPr>
          <w:rFonts w:ascii="Garamond" w:hAnsi="Garamond" w:cs="Times New Roman"/>
          <w:b/>
          <w:bCs/>
        </w:rPr>
      </w:pPr>
    </w:p>
    <w:p w14:paraId="5EE1A672" w14:textId="56D2D818" w:rsidR="006A041E" w:rsidRPr="00917C00" w:rsidRDefault="006A041E" w:rsidP="00FC56FC">
      <w:pPr>
        <w:spacing w:before="120" w:line="360" w:lineRule="auto"/>
        <w:jc w:val="both"/>
        <w:rPr>
          <w:rFonts w:ascii="Garamond" w:hAnsi="Garamond" w:cs="Times New Roman"/>
          <w:b/>
          <w:bCs/>
        </w:rPr>
      </w:pPr>
      <w:r w:rsidRPr="00917C00">
        <w:rPr>
          <w:rFonts w:ascii="Garamond" w:hAnsi="Garamond" w:cs="Times New Roman"/>
          <w:b/>
          <w:bCs/>
        </w:rPr>
        <w:lastRenderedPageBreak/>
        <w:t>Hereby resolves:</w:t>
      </w:r>
    </w:p>
    <w:p w14:paraId="11BB432D" w14:textId="77777777" w:rsidR="00FC56FC" w:rsidRPr="00917C00" w:rsidRDefault="00FC56FC" w:rsidP="00B35988">
      <w:pPr>
        <w:spacing w:after="0" w:line="240" w:lineRule="auto"/>
        <w:jc w:val="both"/>
        <w:rPr>
          <w:rFonts w:ascii="Garamond" w:hAnsi="Garamond" w:cs="Times New Roman"/>
        </w:rPr>
      </w:pPr>
    </w:p>
    <w:p w14:paraId="580CCE11" w14:textId="3242FB4E" w:rsidR="008001DB" w:rsidRPr="00917C00" w:rsidRDefault="00771BAF" w:rsidP="00FC56FC">
      <w:pPr>
        <w:spacing w:before="120" w:line="360" w:lineRule="auto"/>
        <w:jc w:val="both"/>
        <w:rPr>
          <w:rFonts w:ascii="Garamond" w:hAnsi="Garamond" w:cs="Times New Roman"/>
        </w:rPr>
      </w:pPr>
      <w:r w:rsidRPr="00917C00">
        <w:rPr>
          <w:rFonts w:ascii="Garamond" w:hAnsi="Garamond" w:cs="Times New Roman"/>
        </w:rPr>
        <w:t xml:space="preserve">The </w:t>
      </w:r>
      <w:r w:rsidR="00285693" w:rsidRPr="00917C00">
        <w:rPr>
          <w:rFonts w:ascii="Garamond" w:hAnsi="Garamond" w:cs="Times New Roman"/>
        </w:rPr>
        <w:t>B</w:t>
      </w:r>
      <w:r w:rsidRPr="00917C00">
        <w:rPr>
          <w:rFonts w:ascii="Garamond" w:hAnsi="Garamond" w:cs="Times New Roman"/>
        </w:rPr>
        <w:t xml:space="preserve">oard refers to the minutes of the Board sitting of the </w:t>
      </w:r>
      <w:r w:rsidR="006F643D">
        <w:rPr>
          <w:rFonts w:ascii="Garamond" w:hAnsi="Garamond"/>
        </w:rPr>
        <w:t>16</w:t>
      </w:r>
      <w:r w:rsidR="003E28FB" w:rsidRPr="003E28FB">
        <w:rPr>
          <w:rFonts w:ascii="Garamond" w:hAnsi="Garamond"/>
          <w:vertAlign w:val="superscript"/>
        </w:rPr>
        <w:t>th</w:t>
      </w:r>
      <w:r w:rsidR="001E09E3" w:rsidRPr="003E28FB">
        <w:rPr>
          <w:rFonts w:ascii="Garamond" w:hAnsi="Garamond"/>
        </w:rPr>
        <w:t xml:space="preserve"> </w:t>
      </w:r>
      <w:r w:rsidR="00344FE9">
        <w:rPr>
          <w:rFonts w:ascii="Garamond" w:hAnsi="Garamond"/>
        </w:rPr>
        <w:t>September</w:t>
      </w:r>
      <w:r w:rsidR="001E09E3" w:rsidRPr="00917C00">
        <w:rPr>
          <w:rFonts w:ascii="Garamond" w:hAnsi="Garamond"/>
        </w:rPr>
        <w:t xml:space="preserve"> 202</w:t>
      </w:r>
      <w:r w:rsidR="003E28FB">
        <w:rPr>
          <w:rFonts w:ascii="Garamond" w:hAnsi="Garamond"/>
        </w:rPr>
        <w:t>5</w:t>
      </w:r>
      <w:r w:rsidRPr="00917C00">
        <w:rPr>
          <w:rFonts w:ascii="Garamond" w:hAnsi="Garamond" w:cs="Times New Roman"/>
        </w:rPr>
        <w:t>.</w:t>
      </w:r>
    </w:p>
    <w:p w14:paraId="7E4A4F45" w14:textId="5E6242FF" w:rsidR="008A4762" w:rsidRPr="00917C00" w:rsidRDefault="00C01E74" w:rsidP="00FC56FC">
      <w:pPr>
        <w:spacing w:before="120" w:line="360" w:lineRule="auto"/>
        <w:jc w:val="both"/>
        <w:rPr>
          <w:rFonts w:ascii="Garamond" w:hAnsi="Garamond" w:cs="Times New Roman"/>
        </w:rPr>
      </w:pPr>
      <w:r w:rsidRPr="00917C00">
        <w:rPr>
          <w:rFonts w:ascii="Garamond" w:hAnsi="Garamond" w:cs="Times New Roman"/>
        </w:rPr>
        <w:t xml:space="preserve">Having noted the objection filed </w:t>
      </w:r>
      <w:r w:rsidR="004F7636" w:rsidRPr="00917C00">
        <w:rPr>
          <w:rFonts w:ascii="Garamond" w:hAnsi="Garamond" w:cs="Times New Roman"/>
        </w:rPr>
        <w:t>by</w:t>
      </w:r>
      <w:r w:rsidR="00583338">
        <w:rPr>
          <w:rFonts w:ascii="Garamond" w:hAnsi="Garamond" w:cs="Times New Roman"/>
        </w:rPr>
        <w:t xml:space="preserve"> </w:t>
      </w:r>
      <w:proofErr w:type="spellStart"/>
      <w:r w:rsidR="00583338">
        <w:rPr>
          <w:rFonts w:ascii="Garamond" w:hAnsi="Garamond" w:cs="Times New Roman"/>
        </w:rPr>
        <w:t>Projekte</w:t>
      </w:r>
      <w:proofErr w:type="spellEnd"/>
      <w:r w:rsidR="00583338">
        <w:rPr>
          <w:rFonts w:ascii="Garamond" w:hAnsi="Garamond" w:cs="Times New Roman"/>
        </w:rPr>
        <w:t xml:space="preserve"> Global Limited</w:t>
      </w:r>
      <w:r w:rsidR="00EB657B">
        <w:rPr>
          <w:rFonts w:ascii="Garamond" w:hAnsi="Garamond"/>
        </w:rPr>
        <w:t xml:space="preserve"> </w:t>
      </w:r>
      <w:r w:rsidR="00AA3081" w:rsidRPr="00917C00">
        <w:rPr>
          <w:rFonts w:ascii="Garamond" w:hAnsi="Garamond" w:cs="Times New Roman"/>
        </w:rPr>
        <w:t xml:space="preserve">(hereinafter referred to as the Appellant) on </w:t>
      </w:r>
      <w:r w:rsidR="00583338">
        <w:rPr>
          <w:rFonts w:ascii="Garamond" w:hAnsi="Garamond"/>
        </w:rPr>
        <w:t>13</w:t>
      </w:r>
      <w:r w:rsidRPr="00917C00">
        <w:rPr>
          <w:rFonts w:ascii="Garamond" w:hAnsi="Garamond"/>
          <w:vertAlign w:val="superscript"/>
        </w:rPr>
        <w:t>th</w:t>
      </w:r>
      <w:r w:rsidRPr="00917C00">
        <w:rPr>
          <w:rFonts w:ascii="Garamond" w:hAnsi="Garamond"/>
        </w:rPr>
        <w:t xml:space="preserve"> </w:t>
      </w:r>
      <w:r w:rsidR="00752868">
        <w:rPr>
          <w:rFonts w:ascii="Garamond" w:hAnsi="Garamond"/>
        </w:rPr>
        <w:t>J</w:t>
      </w:r>
      <w:r w:rsidR="00583338">
        <w:rPr>
          <w:rFonts w:ascii="Garamond" w:hAnsi="Garamond"/>
        </w:rPr>
        <w:t>anuary</w:t>
      </w:r>
      <w:r w:rsidRPr="00917C00">
        <w:rPr>
          <w:rFonts w:ascii="Garamond" w:hAnsi="Garamond"/>
        </w:rPr>
        <w:t xml:space="preserve"> </w:t>
      </w:r>
      <w:r w:rsidR="0028714E" w:rsidRPr="00917C00">
        <w:rPr>
          <w:rFonts w:ascii="Garamond" w:hAnsi="Garamond"/>
        </w:rPr>
        <w:t>202</w:t>
      </w:r>
      <w:r w:rsidR="00317FD3">
        <w:rPr>
          <w:rFonts w:ascii="Garamond" w:hAnsi="Garamond"/>
        </w:rPr>
        <w:t>5</w:t>
      </w:r>
      <w:r w:rsidR="00693E1F" w:rsidRPr="00917C00">
        <w:rPr>
          <w:rFonts w:ascii="Garamond" w:hAnsi="Garamond" w:cs="Times New Roman"/>
        </w:rPr>
        <w:t xml:space="preserve">, refers to the </w:t>
      </w:r>
      <w:r w:rsidR="00460538" w:rsidRPr="00917C00">
        <w:rPr>
          <w:rFonts w:ascii="Garamond" w:hAnsi="Garamond" w:cs="Times New Roman"/>
        </w:rPr>
        <w:t>claims made by the same Appellant with</w:t>
      </w:r>
      <w:r w:rsidR="00620488" w:rsidRPr="00917C00">
        <w:rPr>
          <w:rFonts w:ascii="Garamond" w:hAnsi="Garamond" w:cs="Times New Roman"/>
        </w:rPr>
        <w:t xml:space="preserve"> regard to the tender of reference </w:t>
      </w:r>
      <w:proofErr w:type="spellStart"/>
      <w:r w:rsidR="00583338" w:rsidRPr="00583338">
        <w:rPr>
          <w:rFonts w:ascii="Garamond" w:hAnsi="Garamond" w:cs="Times New Roman"/>
        </w:rPr>
        <w:t>KLMsd</w:t>
      </w:r>
      <w:proofErr w:type="spellEnd"/>
      <w:r w:rsidR="00583338" w:rsidRPr="00583338">
        <w:rPr>
          <w:rFonts w:ascii="Garamond" w:hAnsi="Garamond" w:cs="Times New Roman"/>
        </w:rPr>
        <w:t>/TDR/05/202</w:t>
      </w:r>
      <w:r w:rsidR="00013CBD">
        <w:rPr>
          <w:rFonts w:ascii="Garamond" w:hAnsi="Garamond" w:cs="Times New Roman"/>
        </w:rPr>
        <w:t>4</w:t>
      </w:r>
      <w:r w:rsidR="00583338" w:rsidRPr="00583338">
        <w:rPr>
          <w:rFonts w:ascii="Garamond" w:hAnsi="Garamond" w:cs="Times New Roman"/>
        </w:rPr>
        <w:t xml:space="preserve"> </w:t>
      </w:r>
      <w:r w:rsidR="00620488" w:rsidRPr="00917C00">
        <w:rPr>
          <w:rFonts w:ascii="Garamond" w:hAnsi="Garamond" w:cs="Times New Roman"/>
        </w:rPr>
        <w:t xml:space="preserve">listed as case No. </w:t>
      </w:r>
      <w:r w:rsidR="00317FD3" w:rsidRPr="00165D75">
        <w:rPr>
          <w:rFonts w:ascii="Garamond" w:hAnsi="Garamond" w:cs="Times New Roman"/>
        </w:rPr>
        <w:t>21</w:t>
      </w:r>
      <w:r w:rsidR="00583338">
        <w:rPr>
          <w:rFonts w:ascii="Garamond" w:hAnsi="Garamond" w:cs="Times New Roman"/>
        </w:rPr>
        <w:t>51</w:t>
      </w:r>
      <w:r w:rsidR="00360622" w:rsidRPr="00917C00">
        <w:rPr>
          <w:rFonts w:ascii="Garamond" w:hAnsi="Garamond" w:cs="Times New Roman"/>
        </w:rPr>
        <w:t xml:space="preserve"> in the records of the Public Contracts Review Board.</w:t>
      </w:r>
    </w:p>
    <w:p w14:paraId="163B5A70" w14:textId="77777777" w:rsidR="00EF2B74" w:rsidRPr="0038009E" w:rsidRDefault="00EF2B74" w:rsidP="00B02CD9">
      <w:pPr>
        <w:spacing w:before="120" w:line="360" w:lineRule="auto"/>
        <w:jc w:val="both"/>
        <w:rPr>
          <w:rFonts w:ascii="Garamond" w:hAnsi="Garamond" w:cs="Times New Roman"/>
          <w:highlight w:val="yellow"/>
        </w:rPr>
      </w:pPr>
    </w:p>
    <w:p w14:paraId="029E521B" w14:textId="1F399363" w:rsidR="00752868" w:rsidRDefault="00C255E5" w:rsidP="00752868">
      <w:pPr>
        <w:spacing w:before="120" w:line="360" w:lineRule="auto"/>
        <w:ind w:left="4320" w:hanging="4320"/>
        <w:jc w:val="both"/>
        <w:rPr>
          <w:rFonts w:ascii="Garamond" w:hAnsi="Garamond"/>
        </w:rPr>
      </w:pPr>
      <w:r w:rsidRPr="00874A02">
        <w:rPr>
          <w:rFonts w:ascii="Garamond" w:hAnsi="Garamond" w:cs="Times New Roman"/>
        </w:rPr>
        <w:t>Appearing for the Appellant:</w:t>
      </w:r>
      <w:r w:rsidR="00AC3E47" w:rsidRPr="00874A02">
        <w:rPr>
          <w:rFonts w:ascii="Garamond" w:hAnsi="Garamond" w:cs="Times New Roman"/>
        </w:rPr>
        <w:t xml:space="preserve"> </w:t>
      </w:r>
      <w:r w:rsidR="00667401" w:rsidRPr="00874A02">
        <w:rPr>
          <w:rFonts w:ascii="Garamond" w:hAnsi="Garamond" w:cs="Times New Roman"/>
        </w:rPr>
        <w:tab/>
      </w:r>
      <w:r w:rsidR="00583338">
        <w:rPr>
          <w:rFonts w:ascii="Garamond" w:hAnsi="Garamond"/>
        </w:rPr>
        <w:t xml:space="preserve">Dr Adrian Delia </w:t>
      </w:r>
      <w:r w:rsidR="00454A00">
        <w:rPr>
          <w:rFonts w:ascii="Garamond" w:hAnsi="Garamond"/>
        </w:rPr>
        <w:t>&amp;</w:t>
      </w:r>
      <w:r w:rsidR="00583338">
        <w:rPr>
          <w:rFonts w:ascii="Garamond" w:hAnsi="Garamond"/>
        </w:rPr>
        <w:t xml:space="preserve"> Dr Zack Esmail</w:t>
      </w:r>
      <w:r w:rsidR="00752868" w:rsidRPr="00344FE9">
        <w:rPr>
          <w:rFonts w:ascii="Garamond" w:hAnsi="Garamond"/>
        </w:rPr>
        <w:t xml:space="preserve"> </w:t>
      </w:r>
    </w:p>
    <w:p w14:paraId="115389B0" w14:textId="3FD65234" w:rsidR="008001DB" w:rsidRPr="00874A02" w:rsidRDefault="00AC3E47" w:rsidP="00752868">
      <w:pPr>
        <w:spacing w:before="120" w:line="360" w:lineRule="auto"/>
        <w:ind w:left="4320" w:hanging="4320"/>
        <w:jc w:val="both"/>
        <w:rPr>
          <w:rFonts w:ascii="Garamond" w:hAnsi="Garamond" w:cs="Times New Roman"/>
        </w:rPr>
      </w:pPr>
      <w:r w:rsidRPr="00874A02">
        <w:rPr>
          <w:rFonts w:ascii="Garamond" w:hAnsi="Garamond" w:cs="Times New Roman"/>
        </w:rPr>
        <w:t>Appearing for the</w:t>
      </w:r>
      <w:r w:rsidR="00FB1CEC" w:rsidRPr="00874A02">
        <w:rPr>
          <w:rFonts w:ascii="Garamond" w:hAnsi="Garamond" w:cs="Times New Roman"/>
        </w:rPr>
        <w:t xml:space="preserve"> </w:t>
      </w:r>
      <w:r w:rsidRPr="00874A02">
        <w:rPr>
          <w:rFonts w:ascii="Garamond" w:hAnsi="Garamond" w:cs="Times New Roman"/>
        </w:rPr>
        <w:t xml:space="preserve">Contracting Authority: </w:t>
      </w:r>
      <w:r w:rsidR="00667401" w:rsidRPr="00874A02">
        <w:rPr>
          <w:rFonts w:ascii="Garamond" w:hAnsi="Garamond" w:cs="Times New Roman"/>
        </w:rPr>
        <w:tab/>
      </w:r>
      <w:r w:rsidR="00583338">
        <w:rPr>
          <w:rFonts w:ascii="Garamond" w:hAnsi="Garamond"/>
        </w:rPr>
        <w:t xml:space="preserve">Dr Jonathan Thompson </w:t>
      </w:r>
      <w:r w:rsidR="00454A00">
        <w:rPr>
          <w:rFonts w:ascii="Garamond" w:hAnsi="Garamond"/>
        </w:rPr>
        <w:t>&amp;</w:t>
      </w:r>
      <w:r w:rsidR="00583338">
        <w:rPr>
          <w:rFonts w:ascii="Garamond" w:hAnsi="Garamond"/>
        </w:rPr>
        <w:t xml:space="preserve"> Dr Kristina Friggieri</w:t>
      </w:r>
    </w:p>
    <w:p w14:paraId="6054144E" w14:textId="77777777" w:rsidR="00EB657B" w:rsidRDefault="00EB657B" w:rsidP="00FC56FC">
      <w:pPr>
        <w:spacing w:before="120" w:line="360" w:lineRule="auto"/>
        <w:jc w:val="both"/>
        <w:rPr>
          <w:rFonts w:ascii="Garamond" w:hAnsi="Garamond" w:cs="Times New Roman"/>
        </w:rPr>
      </w:pPr>
    </w:p>
    <w:p w14:paraId="403A1FC0" w14:textId="77777777" w:rsidR="00FC4783" w:rsidRPr="00BD47F6" w:rsidRDefault="00FC4783" w:rsidP="00FC4783">
      <w:pPr>
        <w:spacing w:before="120" w:line="360" w:lineRule="auto"/>
        <w:jc w:val="both"/>
        <w:rPr>
          <w:rFonts w:ascii="Garamond" w:hAnsi="Garamond" w:cs="Times New Roman"/>
        </w:rPr>
      </w:pPr>
      <w:r w:rsidRPr="00BD47F6">
        <w:rPr>
          <w:rFonts w:ascii="Garamond" w:hAnsi="Garamond" w:cs="Times New Roman"/>
        </w:rPr>
        <w:t>Whereby, the Appellant contends that:</w:t>
      </w:r>
    </w:p>
    <w:p w14:paraId="10E0D64E" w14:textId="77777777" w:rsidR="00FC4783" w:rsidRPr="00645BF6" w:rsidRDefault="00FC4783" w:rsidP="00CA58E5">
      <w:pPr>
        <w:pStyle w:val="ListParagraph"/>
        <w:numPr>
          <w:ilvl w:val="0"/>
          <w:numId w:val="6"/>
        </w:numPr>
        <w:spacing w:before="120" w:line="360" w:lineRule="auto"/>
        <w:jc w:val="both"/>
        <w:rPr>
          <w:rFonts w:ascii="Garamond" w:hAnsi="Garamond" w:cs="Times New Roman"/>
        </w:rPr>
      </w:pPr>
      <w:r w:rsidRPr="00645BF6">
        <w:rPr>
          <w:rFonts w:ascii="Garamond" w:hAnsi="Garamond" w:cs="Times New Roman"/>
        </w:rPr>
        <w:t>The tender as currently drafted requires economic operators to provide inter alia the following:</w:t>
      </w:r>
    </w:p>
    <w:p w14:paraId="1C8A21BD" w14:textId="77777777" w:rsidR="00FC4783" w:rsidRPr="00645BF6" w:rsidRDefault="00FC4783" w:rsidP="00FC4783">
      <w:pPr>
        <w:pStyle w:val="ListParagraph"/>
        <w:spacing w:before="120" w:line="360" w:lineRule="auto"/>
        <w:ind w:left="1440"/>
        <w:jc w:val="both"/>
        <w:rPr>
          <w:rFonts w:ascii="Garamond" w:hAnsi="Garamond" w:cs="Times New Roman"/>
        </w:rPr>
      </w:pPr>
      <w:r w:rsidRPr="00645BF6">
        <w:rPr>
          <w:rFonts w:ascii="Garamond" w:hAnsi="Garamond" w:cs="Times New Roman"/>
        </w:rPr>
        <w:t>•</w:t>
      </w:r>
      <w:r>
        <w:rPr>
          <w:rFonts w:ascii="Garamond" w:hAnsi="Garamond" w:cs="Times New Roman"/>
        </w:rPr>
        <w:t xml:space="preserve"> </w:t>
      </w:r>
      <w:r w:rsidRPr="00645BF6">
        <w:rPr>
          <w:rFonts w:ascii="Garamond" w:hAnsi="Garamond" w:cs="Times New Roman"/>
        </w:rPr>
        <w:t xml:space="preserve">Site clearance works; • </w:t>
      </w:r>
      <w:r w:rsidRPr="00645BF6">
        <w:rPr>
          <w:rFonts w:ascii="Tahoma" w:hAnsi="Tahoma" w:cs="Tahoma"/>
        </w:rPr>
        <w:t>﻿﻿﻿</w:t>
      </w:r>
      <w:r w:rsidRPr="00645BF6">
        <w:rPr>
          <w:rFonts w:ascii="Garamond" w:hAnsi="Garamond" w:cs="Times New Roman"/>
        </w:rPr>
        <w:t xml:space="preserve">Excavation works; • </w:t>
      </w:r>
      <w:r w:rsidRPr="00645BF6">
        <w:rPr>
          <w:rFonts w:ascii="Tahoma" w:hAnsi="Tahoma" w:cs="Tahoma"/>
        </w:rPr>
        <w:t>﻿﻿﻿</w:t>
      </w:r>
      <w:r w:rsidRPr="00645BF6">
        <w:rPr>
          <w:rFonts w:ascii="Garamond" w:hAnsi="Garamond" w:cs="Times New Roman"/>
        </w:rPr>
        <w:t xml:space="preserve">Construction of footpaths; • </w:t>
      </w:r>
      <w:r w:rsidRPr="00645BF6">
        <w:rPr>
          <w:rFonts w:ascii="Tahoma" w:hAnsi="Tahoma" w:cs="Tahoma"/>
        </w:rPr>
        <w:t>﻿﻿﻿</w:t>
      </w:r>
      <w:r w:rsidRPr="00645BF6">
        <w:rPr>
          <w:rFonts w:ascii="Garamond" w:hAnsi="Garamond" w:cs="Times New Roman"/>
        </w:rPr>
        <w:t xml:space="preserve">Installation of MEP </w:t>
      </w:r>
      <w:proofErr w:type="gramStart"/>
      <w:r w:rsidRPr="00645BF6">
        <w:rPr>
          <w:rFonts w:ascii="Garamond" w:hAnsi="Garamond" w:cs="Times New Roman"/>
        </w:rPr>
        <w:t>Services;  •</w:t>
      </w:r>
      <w:proofErr w:type="gramEnd"/>
      <w:r w:rsidRPr="00645BF6">
        <w:rPr>
          <w:rFonts w:ascii="Garamond" w:hAnsi="Garamond" w:cs="Times New Roman"/>
        </w:rPr>
        <w:t xml:space="preserve"> </w:t>
      </w:r>
      <w:r w:rsidRPr="00645BF6">
        <w:rPr>
          <w:rFonts w:ascii="Tahoma" w:hAnsi="Tahoma" w:cs="Tahoma"/>
        </w:rPr>
        <w:t>﻿﻿﻿</w:t>
      </w:r>
      <w:r w:rsidRPr="00645BF6">
        <w:rPr>
          <w:rFonts w:ascii="Garamond" w:hAnsi="Garamond" w:cs="Times New Roman"/>
        </w:rPr>
        <w:t xml:space="preserve">Installation of street furniture; • </w:t>
      </w:r>
      <w:r w:rsidRPr="00645BF6">
        <w:rPr>
          <w:rFonts w:ascii="Tahoma" w:hAnsi="Tahoma" w:cs="Tahoma"/>
        </w:rPr>
        <w:t>﻿﻿﻿</w:t>
      </w:r>
      <w:r w:rsidRPr="00645BF6">
        <w:rPr>
          <w:rFonts w:ascii="Garamond" w:hAnsi="Garamond" w:cs="Times New Roman"/>
        </w:rPr>
        <w:t xml:space="preserve">Installation of play equipment; • </w:t>
      </w:r>
      <w:r w:rsidRPr="00645BF6">
        <w:rPr>
          <w:rFonts w:ascii="Tahoma" w:hAnsi="Tahoma" w:cs="Tahoma"/>
        </w:rPr>
        <w:t>﻿﻿﻿</w:t>
      </w:r>
      <w:r w:rsidRPr="00645BF6">
        <w:rPr>
          <w:rFonts w:ascii="Garamond" w:hAnsi="Garamond" w:cs="Times New Roman"/>
        </w:rPr>
        <w:t xml:space="preserve">Traffic Signs and road markings; • </w:t>
      </w:r>
      <w:r w:rsidRPr="00645BF6">
        <w:rPr>
          <w:rFonts w:ascii="Tahoma" w:hAnsi="Tahoma" w:cs="Tahoma"/>
        </w:rPr>
        <w:t>﻿﻿﻿</w:t>
      </w:r>
      <w:r w:rsidRPr="00645BF6">
        <w:rPr>
          <w:rFonts w:ascii="Garamond" w:hAnsi="Garamond" w:cs="Times New Roman"/>
        </w:rPr>
        <w:t>Landscaping works; • Maintenance services;</w:t>
      </w:r>
    </w:p>
    <w:p w14:paraId="7A3D1A5C" w14:textId="77777777" w:rsidR="00FC4783" w:rsidRPr="00645BF6" w:rsidRDefault="00FC4783" w:rsidP="00CA58E5">
      <w:pPr>
        <w:pStyle w:val="ListParagraph"/>
        <w:numPr>
          <w:ilvl w:val="0"/>
          <w:numId w:val="6"/>
        </w:numPr>
        <w:spacing w:before="120" w:line="360" w:lineRule="auto"/>
        <w:jc w:val="both"/>
        <w:rPr>
          <w:rFonts w:ascii="Garamond" w:hAnsi="Garamond" w:cs="Times New Roman"/>
          <w:i/>
          <w:iCs/>
        </w:rPr>
      </w:pPr>
      <w:r w:rsidRPr="00645BF6">
        <w:rPr>
          <w:rFonts w:ascii="Garamond" w:hAnsi="Garamond" w:cs="Times New Roman"/>
        </w:rPr>
        <w:t xml:space="preserve">The tender requires, upon award, the contractor to fulfil g phases of the regeneration project. Such works contract consists of construction, installation, landscaping and maintenance services. It is the submission of the appellant company that, the tender could have been easily divided into different and multiple lots, as opposed to it being presented in one (1) lot. It is a known fact that any failure to do so, constitutes a breach of inter alia regulations 39(3) and 53(6) of S.L 601.03, by which the tender artificially narrows down competition. </w:t>
      </w:r>
      <w:proofErr w:type="gramStart"/>
      <w:r w:rsidRPr="00645BF6">
        <w:rPr>
          <w:rFonts w:ascii="Garamond" w:hAnsi="Garamond" w:cs="Times New Roman"/>
        </w:rPr>
        <w:t>The contracting authority,</w:t>
      </w:r>
      <w:proofErr w:type="gramEnd"/>
      <w:r w:rsidRPr="00645BF6">
        <w:rPr>
          <w:rFonts w:ascii="Garamond" w:hAnsi="Garamond" w:cs="Times New Roman"/>
        </w:rPr>
        <w:t xml:space="preserve"> justifies such approach within the tender document itself, and claims that: </w:t>
      </w:r>
      <w:r w:rsidRPr="00645BF6">
        <w:rPr>
          <w:rFonts w:ascii="Garamond" w:hAnsi="Garamond" w:cs="Times New Roman"/>
          <w:i/>
          <w:iCs/>
        </w:rPr>
        <w:t>“Tender cannot be divided as the works include several trades which overlap thus creating difficulties to coordinate logistics. Separating the works into different contracts would risk creating anomalies regarding the responsibility boundaries of the different Contractors doing the works included in the different contracts since most of the work items are not completely independent of each other.”</w:t>
      </w:r>
    </w:p>
    <w:p w14:paraId="15293F4C" w14:textId="77777777" w:rsidR="00FC4783" w:rsidRPr="00645BF6" w:rsidRDefault="00FC4783" w:rsidP="00CA58E5">
      <w:pPr>
        <w:pStyle w:val="ListParagraph"/>
        <w:numPr>
          <w:ilvl w:val="0"/>
          <w:numId w:val="6"/>
        </w:numPr>
        <w:spacing w:before="120" w:line="360" w:lineRule="auto"/>
        <w:jc w:val="both"/>
        <w:rPr>
          <w:rFonts w:ascii="Garamond" w:hAnsi="Garamond" w:cs="Times New Roman"/>
        </w:rPr>
      </w:pPr>
      <w:r w:rsidRPr="00645BF6">
        <w:rPr>
          <w:rFonts w:ascii="Garamond" w:hAnsi="Garamond" w:cs="Times New Roman"/>
        </w:rPr>
        <w:t>As established through local and foreign judgments, any deviations therefrom limits the participation procedure solely to larger operators, inadvertently reducing competition as smaller economic operators would lack the capacity to deliver the entire project as currently construed, but could effectively perform sections of the same project. This is also the position under article 18(1) of Directive 2014/24EU, which explicitly prohibits designing procurement with the intention of artificially narrowing competition.</w:t>
      </w:r>
    </w:p>
    <w:p w14:paraId="6A6E1475" w14:textId="77777777" w:rsidR="00FC4783" w:rsidRPr="00645BF6" w:rsidRDefault="00FC4783" w:rsidP="00CA58E5">
      <w:pPr>
        <w:pStyle w:val="ListParagraph"/>
        <w:numPr>
          <w:ilvl w:val="0"/>
          <w:numId w:val="6"/>
        </w:numPr>
        <w:spacing w:before="120" w:line="360" w:lineRule="auto"/>
        <w:jc w:val="both"/>
        <w:rPr>
          <w:rFonts w:ascii="Garamond" w:hAnsi="Garamond" w:cs="Times New Roman"/>
        </w:rPr>
      </w:pPr>
      <w:r w:rsidRPr="00645BF6">
        <w:rPr>
          <w:rFonts w:ascii="Garamond" w:hAnsi="Garamond" w:cs="Times New Roman"/>
        </w:rPr>
        <w:t>It is the submission of the appellant company that the reason provided by the contracting authority does not constitute a valid justification which permits that competition is artificially narrowed down and this for the following reasons:</w:t>
      </w:r>
      <w:r w:rsidRPr="00645BF6">
        <w:rPr>
          <w:rFonts w:ascii="MS Gothic" w:eastAsia="MS Gothic" w:hAnsi="MS Gothic" w:cs="MS Gothic" w:hint="eastAsia"/>
        </w:rPr>
        <w:t> </w:t>
      </w:r>
      <w:r w:rsidRPr="00645BF6">
        <w:rPr>
          <w:rFonts w:ascii="Garamond" w:hAnsi="Garamond" w:cs="Times New Roman"/>
        </w:rPr>
        <w:t xml:space="preserve">FIRST - Whilst the contracting authority is at liberty for its </w:t>
      </w:r>
      <w:r w:rsidRPr="00645BF6">
        <w:rPr>
          <w:rFonts w:ascii="Garamond" w:hAnsi="Garamond" w:cs="Times New Roman"/>
        </w:rPr>
        <w:lastRenderedPageBreak/>
        <w:t xml:space="preserve">choice of procurement procedure and its constitution thereof, any concerns on logistics can easily be addressed through the appointment of one of the contractors as the lead contractor and thus abating any such difficulties. SECOND - Any overlap can be addressed through proper planning, which should include thorough project management. Overlaps is the order of the day in every construction management however this is mitigated through proper management and appropriate planning. THIRD - Each and every tenderer, once awarded a contract, or a lot thereof, is bound by the contract agreement which stipulates the rights and obligations of the parties. This is also supplemented with legal obligations emanating from the Civil Code. As such, responsibilities will be appropriately delineated and apportioned in accordance with the portion of the project implementation entrusted to the different contractors. </w:t>
      </w:r>
      <w:proofErr w:type="gramStart"/>
      <w:r w:rsidRPr="00645BF6">
        <w:rPr>
          <w:rFonts w:ascii="Garamond" w:hAnsi="Garamond" w:cs="Times New Roman"/>
        </w:rPr>
        <w:t>Again</w:t>
      </w:r>
      <w:proofErr w:type="gramEnd"/>
      <w:r w:rsidRPr="00645BF6">
        <w:rPr>
          <w:rFonts w:ascii="Garamond" w:hAnsi="Garamond" w:cs="Times New Roman"/>
        </w:rPr>
        <w:t xml:space="preserve"> this does not justify any artificially narrowing of competition.</w:t>
      </w:r>
    </w:p>
    <w:p w14:paraId="1C13C225" w14:textId="77777777" w:rsidR="00FC4783" w:rsidRPr="00645BF6" w:rsidRDefault="00FC4783" w:rsidP="00CA58E5">
      <w:pPr>
        <w:pStyle w:val="ListParagraph"/>
        <w:numPr>
          <w:ilvl w:val="0"/>
          <w:numId w:val="6"/>
        </w:numPr>
        <w:spacing w:before="120" w:line="360" w:lineRule="auto"/>
        <w:jc w:val="both"/>
        <w:rPr>
          <w:rFonts w:ascii="Garamond" w:hAnsi="Garamond" w:cs="Times New Roman"/>
        </w:rPr>
      </w:pPr>
      <w:r w:rsidRPr="00645BF6">
        <w:rPr>
          <w:rFonts w:ascii="Garamond" w:hAnsi="Garamond" w:cs="Times New Roman"/>
        </w:rPr>
        <w:t>The appellant reiterates that any 'logistical issues', which can be easily overcome as per above, should not be the main characteristics which shapes and undermines effective competition between competing bids.</w:t>
      </w:r>
    </w:p>
    <w:p w14:paraId="3D0BBFA9" w14:textId="77777777" w:rsidR="00FC4783" w:rsidRPr="00645BF6" w:rsidRDefault="00FC4783" w:rsidP="00CA58E5">
      <w:pPr>
        <w:pStyle w:val="ListParagraph"/>
        <w:numPr>
          <w:ilvl w:val="0"/>
          <w:numId w:val="6"/>
        </w:numPr>
        <w:spacing w:before="120" w:line="360" w:lineRule="auto"/>
        <w:jc w:val="both"/>
        <w:rPr>
          <w:rFonts w:ascii="Garamond" w:hAnsi="Garamond" w:cs="Times New Roman"/>
        </w:rPr>
      </w:pPr>
      <w:r w:rsidRPr="00645BF6">
        <w:rPr>
          <w:rFonts w:ascii="Garamond" w:hAnsi="Garamond" w:cs="Times New Roman"/>
        </w:rPr>
        <w:t>Promoting effective competition is also at the core objective of public procurement.</w:t>
      </w:r>
      <w:r w:rsidRPr="00645BF6">
        <w:rPr>
          <w:rFonts w:ascii="MS Gothic" w:eastAsia="MS Gothic" w:hAnsi="MS Gothic" w:cs="MS Gothic" w:hint="eastAsia"/>
        </w:rPr>
        <w:t> </w:t>
      </w:r>
      <w:r w:rsidRPr="00645BF6">
        <w:rPr>
          <w:rFonts w:ascii="Garamond" w:hAnsi="Garamond" w:cs="Times New Roman"/>
        </w:rPr>
        <w:t xml:space="preserve">The principle of proportionality, as established in public procurement law and recognized in various judgments of the European Court of Justice (ECJ, requires that any measures adopted by a contracting authority must be appropriate, necessary, and proportionate to achieving their legitimate aims. For instance, in cases such as </w:t>
      </w:r>
      <w:proofErr w:type="spellStart"/>
      <w:r w:rsidRPr="00645BF6">
        <w:rPr>
          <w:rFonts w:ascii="Garamond" w:hAnsi="Garamond" w:cs="Times New Roman"/>
        </w:rPr>
        <w:t>Evropaiki</w:t>
      </w:r>
      <w:proofErr w:type="spellEnd"/>
      <w:r w:rsidRPr="00645BF6">
        <w:rPr>
          <w:rFonts w:ascii="Garamond" w:hAnsi="Garamond" w:cs="Times New Roman"/>
        </w:rPr>
        <w:t xml:space="preserve"> </w:t>
      </w:r>
      <w:proofErr w:type="spellStart"/>
      <w:r w:rsidRPr="00645BF6">
        <w:rPr>
          <w:rFonts w:ascii="Garamond" w:hAnsi="Garamond" w:cs="Times New Roman"/>
        </w:rPr>
        <w:t>Dynamiki</w:t>
      </w:r>
      <w:proofErr w:type="spellEnd"/>
      <w:r w:rsidRPr="00645BF6">
        <w:rPr>
          <w:rFonts w:ascii="Garamond" w:hAnsi="Garamond" w:cs="Times New Roman"/>
        </w:rPr>
        <w:t xml:space="preserve"> v European Commissions, the ECJ emphasized that contracting authorities must balance their objectives against the overarching requirement to ensure fair competition and equal treatment.</w:t>
      </w:r>
      <w:r w:rsidRPr="00645BF6">
        <w:rPr>
          <w:rFonts w:ascii="MS Gothic" w:eastAsia="MS Gothic" w:hAnsi="MS Gothic" w:cs="MS Gothic" w:hint="eastAsia"/>
        </w:rPr>
        <w:t> </w:t>
      </w:r>
      <w:r w:rsidRPr="00645BF6">
        <w:rPr>
          <w:rFonts w:ascii="Garamond" w:hAnsi="Garamond" w:cs="Times New Roman"/>
        </w:rPr>
        <w:t>A lack of genuine or adequate competition undermines these objectives whilst also generates disadvantages to the contracting authority. If there is no or limited competition, it is the contracting authority which suffers with the risk of obtaining higher offers, bad quality supplies/services or possibly no offers at all.</w:t>
      </w:r>
    </w:p>
    <w:p w14:paraId="06C49568" w14:textId="77777777" w:rsidR="00FC4783" w:rsidRPr="00645BF6" w:rsidRDefault="00FC4783" w:rsidP="00CA58E5">
      <w:pPr>
        <w:pStyle w:val="ListParagraph"/>
        <w:numPr>
          <w:ilvl w:val="0"/>
          <w:numId w:val="6"/>
        </w:numPr>
        <w:spacing w:before="120" w:line="360" w:lineRule="auto"/>
        <w:jc w:val="both"/>
        <w:rPr>
          <w:rFonts w:ascii="Garamond" w:hAnsi="Garamond" w:cs="Times New Roman"/>
        </w:rPr>
      </w:pPr>
      <w:r w:rsidRPr="00645BF6">
        <w:rPr>
          <w:rFonts w:ascii="Garamond" w:hAnsi="Garamond" w:cs="Times New Roman"/>
        </w:rPr>
        <w:t>The importance of lot division in fostering competition is also highlighted in recitals</w:t>
      </w:r>
      <w:r w:rsidRPr="00645BF6">
        <w:rPr>
          <w:rFonts w:ascii="MS Gothic" w:eastAsia="MS Gothic" w:hAnsi="MS Gothic" w:cs="MS Gothic" w:hint="eastAsia"/>
        </w:rPr>
        <w:t> </w:t>
      </w:r>
      <w:r w:rsidRPr="00645BF6">
        <w:rPr>
          <w:rFonts w:ascii="Garamond" w:hAnsi="Garamond" w:cs="Times New Roman"/>
        </w:rPr>
        <w:t>76 and 78 of Directive 2014/24, being considered as an essential tool in foster the participation of SMEs in public procurement?</w:t>
      </w:r>
    </w:p>
    <w:p w14:paraId="3EA4768C" w14:textId="77777777" w:rsidR="00FC4783" w:rsidRPr="00645BF6" w:rsidRDefault="00FC4783" w:rsidP="00CA58E5">
      <w:pPr>
        <w:pStyle w:val="ListParagraph"/>
        <w:numPr>
          <w:ilvl w:val="0"/>
          <w:numId w:val="6"/>
        </w:numPr>
        <w:spacing w:before="120" w:line="360" w:lineRule="auto"/>
        <w:jc w:val="both"/>
        <w:rPr>
          <w:rFonts w:ascii="Garamond" w:hAnsi="Garamond" w:cs="Times New Roman"/>
        </w:rPr>
      </w:pPr>
      <w:r w:rsidRPr="00645BF6">
        <w:rPr>
          <w:rFonts w:ascii="Garamond" w:hAnsi="Garamond" w:cs="Times New Roman"/>
        </w:rPr>
        <w:t>The appellant further submits that the tender is also in breach of the anti-competition provisions of the Treaty of the Functioning of the European Union [TFEU], specifically articles 101 and 102.</w:t>
      </w:r>
    </w:p>
    <w:p w14:paraId="4664A270" w14:textId="77777777" w:rsidR="00FC4783" w:rsidRPr="00645BF6" w:rsidRDefault="00FC4783" w:rsidP="00CA58E5">
      <w:pPr>
        <w:pStyle w:val="ListParagraph"/>
        <w:numPr>
          <w:ilvl w:val="0"/>
          <w:numId w:val="6"/>
        </w:numPr>
        <w:spacing w:before="120" w:line="360" w:lineRule="auto"/>
        <w:jc w:val="both"/>
        <w:rPr>
          <w:rFonts w:ascii="Garamond" w:hAnsi="Garamond" w:cs="Times New Roman"/>
        </w:rPr>
      </w:pPr>
      <w:r w:rsidRPr="00645BF6">
        <w:rPr>
          <w:rFonts w:ascii="Garamond" w:hAnsi="Garamond" w:cs="Times New Roman"/>
        </w:rPr>
        <w:t>The treaty establishes the necessity for competitive neutrality and the prevention of anti-competitive practices in public procurement. Contracting authorities must ensure that procurement procedures are transparent, non-discriminatory, and open to all qualified bidders. It is also the submission of the appellant, that the main scope of the tender is for the 'embellishment' and regeneration of Pjazza Victor Denaro. As such, it would make no sense to appoint the same contractor in charge of site clearance/excavation/construction of footpaths be also charge of landscaping, with the risk that the same tenderer may not necessarily be specialised in all phases of the tender, such as landscaping.</w:t>
      </w:r>
    </w:p>
    <w:p w14:paraId="1DB88AC4" w14:textId="77777777" w:rsidR="00FC4783" w:rsidRPr="00645BF6" w:rsidRDefault="00FC4783" w:rsidP="00CA58E5">
      <w:pPr>
        <w:pStyle w:val="ListParagraph"/>
        <w:numPr>
          <w:ilvl w:val="0"/>
          <w:numId w:val="6"/>
        </w:numPr>
        <w:spacing w:before="120" w:line="360" w:lineRule="auto"/>
        <w:jc w:val="both"/>
        <w:rPr>
          <w:rFonts w:ascii="Garamond" w:hAnsi="Garamond" w:cs="Times New Roman"/>
        </w:rPr>
      </w:pPr>
      <w:r w:rsidRPr="00645BF6">
        <w:rPr>
          <w:rFonts w:ascii="Garamond" w:hAnsi="Garamond" w:cs="Times New Roman"/>
        </w:rPr>
        <w:lastRenderedPageBreak/>
        <w:t>It is as such the submission of the appellant that tender can be easily sectioned off into separate lots, as follows [or in different configurations]:</w:t>
      </w:r>
    </w:p>
    <w:p w14:paraId="4BB04024" w14:textId="77777777" w:rsidR="00FC4783" w:rsidRPr="00645BF6" w:rsidRDefault="00FC4783" w:rsidP="00FC4783">
      <w:pPr>
        <w:pStyle w:val="ListParagraph"/>
        <w:spacing w:before="120" w:line="360" w:lineRule="auto"/>
        <w:jc w:val="both"/>
        <w:rPr>
          <w:rFonts w:ascii="Garamond" w:hAnsi="Garamond" w:cs="Times New Roman"/>
        </w:rPr>
      </w:pPr>
      <w:r w:rsidRPr="00645BF6">
        <w:rPr>
          <w:rFonts w:ascii="Garamond" w:hAnsi="Garamond" w:cs="Times New Roman"/>
        </w:rPr>
        <w:t>Lot 1 – Site clearance and demolition/excavation/construction of footpaths/Installation of MEP Services</w:t>
      </w:r>
    </w:p>
    <w:p w14:paraId="43999519" w14:textId="77777777" w:rsidR="00FC4783" w:rsidRPr="00645BF6" w:rsidRDefault="00FC4783" w:rsidP="00FC4783">
      <w:pPr>
        <w:pStyle w:val="ListParagraph"/>
        <w:spacing w:before="120" w:line="360" w:lineRule="auto"/>
        <w:jc w:val="both"/>
        <w:rPr>
          <w:rFonts w:ascii="Garamond" w:hAnsi="Garamond" w:cs="Times New Roman"/>
        </w:rPr>
      </w:pPr>
      <w:r w:rsidRPr="00645BF6">
        <w:rPr>
          <w:rFonts w:ascii="Garamond" w:hAnsi="Garamond" w:cs="Times New Roman"/>
        </w:rPr>
        <w:t>Lot 2 – Street furniture/Playing equipment/Traffic signs and road markings/maintenance works</w:t>
      </w:r>
    </w:p>
    <w:p w14:paraId="75F9A8C2" w14:textId="77777777" w:rsidR="00FC4783" w:rsidRPr="00645BF6" w:rsidRDefault="00FC4783" w:rsidP="00FC4783">
      <w:pPr>
        <w:pStyle w:val="ListParagraph"/>
        <w:spacing w:before="120" w:line="360" w:lineRule="auto"/>
        <w:jc w:val="both"/>
        <w:rPr>
          <w:rFonts w:ascii="Garamond" w:hAnsi="Garamond" w:cs="Times New Roman"/>
        </w:rPr>
      </w:pPr>
      <w:r w:rsidRPr="00645BF6">
        <w:rPr>
          <w:rFonts w:ascii="Garamond" w:hAnsi="Garamond" w:cs="Times New Roman"/>
        </w:rPr>
        <w:t>Lot 3 - Landscaping/maintenance works</w:t>
      </w:r>
    </w:p>
    <w:p w14:paraId="05CC2207" w14:textId="77777777" w:rsidR="00FC4783" w:rsidRPr="001E5600" w:rsidRDefault="00FC4783" w:rsidP="00FC4783">
      <w:pPr>
        <w:spacing w:before="120" w:line="360" w:lineRule="auto"/>
        <w:jc w:val="both"/>
        <w:rPr>
          <w:rFonts w:ascii="Garamond" w:hAnsi="Garamond" w:cs="Times New Roman"/>
        </w:rPr>
      </w:pPr>
    </w:p>
    <w:p w14:paraId="03420A4A" w14:textId="2C9069C8" w:rsidR="00FC4783" w:rsidRPr="001E5600" w:rsidRDefault="00FC4783" w:rsidP="00FC4783">
      <w:pPr>
        <w:spacing w:before="120" w:line="360" w:lineRule="auto"/>
        <w:jc w:val="both"/>
        <w:rPr>
          <w:rFonts w:ascii="Garamond" w:hAnsi="Garamond" w:cs="Times New Roman"/>
        </w:rPr>
      </w:pPr>
      <w:r w:rsidRPr="001E5600">
        <w:rPr>
          <w:rFonts w:ascii="Garamond" w:hAnsi="Garamond" w:cs="Times New Roman"/>
        </w:rPr>
        <w:t xml:space="preserve">This Board also noted the Contracting Authority’s Reasoned Letter of Reply filed on </w:t>
      </w:r>
      <w:r w:rsidRPr="001E5600">
        <w:rPr>
          <w:rFonts w:ascii="Garamond" w:hAnsi="Garamond"/>
        </w:rPr>
        <w:t>17</w:t>
      </w:r>
      <w:r w:rsidRPr="001E5600">
        <w:rPr>
          <w:rFonts w:ascii="Garamond" w:hAnsi="Garamond"/>
          <w:vertAlign w:val="superscript"/>
        </w:rPr>
        <w:t>th</w:t>
      </w:r>
      <w:r w:rsidRPr="001E5600">
        <w:rPr>
          <w:rFonts w:ascii="Garamond" w:hAnsi="Garamond"/>
        </w:rPr>
        <w:t xml:space="preserve"> January </w:t>
      </w:r>
      <w:r w:rsidRPr="001E5600">
        <w:rPr>
          <w:rFonts w:ascii="Garamond" w:hAnsi="Garamond" w:cs="Times New Roman"/>
        </w:rPr>
        <w:t xml:space="preserve">2025 and its verbal submission during the hearing held on </w:t>
      </w:r>
      <w:r>
        <w:rPr>
          <w:rFonts w:ascii="Garamond" w:hAnsi="Garamond" w:cs="Times New Roman"/>
        </w:rPr>
        <w:t>16</w:t>
      </w:r>
      <w:r w:rsidRPr="00FC4783">
        <w:rPr>
          <w:rFonts w:ascii="Garamond" w:hAnsi="Garamond" w:cs="Times New Roman"/>
          <w:vertAlign w:val="superscript"/>
        </w:rPr>
        <w:t>th</w:t>
      </w:r>
      <w:r>
        <w:rPr>
          <w:rFonts w:ascii="Garamond" w:hAnsi="Garamond" w:cs="Times New Roman"/>
        </w:rPr>
        <w:t xml:space="preserve"> September</w:t>
      </w:r>
      <w:r w:rsidRPr="001E5600">
        <w:rPr>
          <w:rFonts w:ascii="Garamond" w:hAnsi="Garamond"/>
        </w:rPr>
        <w:t xml:space="preserve"> 2025</w:t>
      </w:r>
      <w:r w:rsidRPr="001E5600">
        <w:rPr>
          <w:rFonts w:ascii="Garamond" w:hAnsi="Garamond" w:cs="Times New Roman"/>
        </w:rPr>
        <w:t xml:space="preserve">, in that: </w:t>
      </w:r>
    </w:p>
    <w:p w14:paraId="17915EA6" w14:textId="77777777" w:rsidR="00FC4783" w:rsidRPr="0006087D" w:rsidRDefault="00FC4783" w:rsidP="00CA58E5">
      <w:pPr>
        <w:pStyle w:val="ListParagraph"/>
        <w:numPr>
          <w:ilvl w:val="0"/>
          <w:numId w:val="7"/>
        </w:numPr>
        <w:spacing w:before="120" w:line="360" w:lineRule="auto"/>
        <w:jc w:val="both"/>
        <w:rPr>
          <w:rFonts w:ascii="Garamond" w:hAnsi="Garamond" w:cs="Times New Roman"/>
          <w:b/>
          <w:bCs/>
          <w:i/>
          <w:iCs/>
        </w:rPr>
      </w:pPr>
      <w:r w:rsidRPr="0006087D">
        <w:rPr>
          <w:rFonts w:ascii="Garamond" w:hAnsi="Garamond" w:cs="Times New Roman"/>
          <w:b/>
          <w:bCs/>
          <w:i/>
          <w:iCs/>
        </w:rPr>
        <w:t xml:space="preserve">Site Limitation - </w:t>
      </w:r>
    </w:p>
    <w:p w14:paraId="3EE8CEC3" w14:textId="77777777" w:rsidR="00FC4783" w:rsidRPr="0006087D" w:rsidRDefault="00FC4783" w:rsidP="00FC4783">
      <w:pPr>
        <w:pStyle w:val="ListParagraph"/>
        <w:spacing w:before="120" w:line="360" w:lineRule="auto"/>
        <w:jc w:val="both"/>
        <w:rPr>
          <w:rFonts w:ascii="Garamond" w:hAnsi="Garamond" w:cs="Times New Roman"/>
        </w:rPr>
      </w:pPr>
      <w:r w:rsidRPr="0006087D">
        <w:rPr>
          <w:rFonts w:ascii="Garamond" w:hAnsi="Garamond" w:cs="Times New Roman"/>
        </w:rPr>
        <w:t xml:space="preserve">According to the Tender Procurement Document, the place of acceptance of the works shall be Pjazza Victor Denaro in </w:t>
      </w:r>
      <w:proofErr w:type="spellStart"/>
      <w:r w:rsidRPr="0006087D">
        <w:rPr>
          <w:rFonts w:ascii="Garamond" w:hAnsi="Garamond" w:cs="Times New Roman"/>
        </w:rPr>
        <w:t>Triq</w:t>
      </w:r>
      <w:proofErr w:type="spellEnd"/>
      <w:r w:rsidRPr="0006087D">
        <w:rPr>
          <w:rFonts w:ascii="Garamond" w:hAnsi="Garamond" w:cs="Times New Roman"/>
        </w:rPr>
        <w:t xml:space="preserve"> Victor Denaro </w:t>
      </w:r>
      <w:proofErr w:type="spellStart"/>
      <w:r w:rsidRPr="0006087D">
        <w:rPr>
          <w:rFonts w:ascii="Garamond" w:hAnsi="Garamond" w:cs="Times New Roman"/>
        </w:rPr>
        <w:t>cw</w:t>
      </w:r>
      <w:proofErr w:type="spellEnd"/>
      <w:r w:rsidRPr="0006087D">
        <w:rPr>
          <w:rFonts w:ascii="Garamond" w:hAnsi="Garamond" w:cs="Times New Roman"/>
        </w:rPr>
        <w:t xml:space="preserve"> </w:t>
      </w:r>
      <w:proofErr w:type="spellStart"/>
      <w:r w:rsidRPr="0006087D">
        <w:rPr>
          <w:rFonts w:ascii="Garamond" w:hAnsi="Garamond" w:cs="Times New Roman"/>
        </w:rPr>
        <w:t>Triq</w:t>
      </w:r>
      <w:proofErr w:type="spellEnd"/>
      <w:r w:rsidRPr="0006087D">
        <w:rPr>
          <w:rFonts w:ascii="Garamond" w:hAnsi="Garamond" w:cs="Times New Roman"/>
        </w:rPr>
        <w:t xml:space="preserve"> 1-iskola, </w:t>
      </w:r>
      <w:proofErr w:type="spellStart"/>
      <w:r w:rsidRPr="0006087D">
        <w:rPr>
          <w:rFonts w:ascii="Garamond" w:hAnsi="Garamond" w:cs="Times New Roman"/>
        </w:rPr>
        <w:t>Triq</w:t>
      </w:r>
      <w:proofErr w:type="spellEnd"/>
      <w:r w:rsidRPr="0006087D">
        <w:rPr>
          <w:rFonts w:ascii="Garamond" w:hAnsi="Garamond" w:cs="Times New Roman"/>
        </w:rPr>
        <w:t xml:space="preserve"> Zakkew and </w:t>
      </w:r>
      <w:proofErr w:type="spellStart"/>
      <w:r w:rsidRPr="0006087D">
        <w:rPr>
          <w:rFonts w:ascii="Garamond" w:hAnsi="Garamond" w:cs="Times New Roman"/>
        </w:rPr>
        <w:t>Triq</w:t>
      </w:r>
      <w:proofErr w:type="spellEnd"/>
      <w:r w:rsidRPr="0006087D">
        <w:rPr>
          <w:rFonts w:ascii="Garamond" w:hAnsi="Garamond" w:cs="Times New Roman"/>
        </w:rPr>
        <w:t xml:space="preserve"> Achille Ferris, Msida. </w:t>
      </w:r>
      <w:r w:rsidRPr="0006087D">
        <w:rPr>
          <w:rFonts w:ascii="Tahoma" w:hAnsi="Tahoma" w:cs="Tahoma"/>
        </w:rPr>
        <w:t>﻿﻿﻿﻿</w:t>
      </w:r>
      <w:r w:rsidRPr="0006087D">
        <w:rPr>
          <w:rFonts w:ascii="Garamond" w:hAnsi="Garamond" w:cs="Times New Roman"/>
        </w:rPr>
        <w:t xml:space="preserve">Dividing the Tender into lots with multiple contractors working at the same time, being responsible for overlapping tasks and working in adjacent areas, would result in overcrowding of equipment, materials, and workforce, which in turn could lead to delays and inefficiencies. </w:t>
      </w:r>
      <w:r w:rsidRPr="0006087D">
        <w:rPr>
          <w:rFonts w:ascii="Tahoma" w:hAnsi="Tahoma" w:cs="Tahoma"/>
        </w:rPr>
        <w:t>﻿﻿﻿﻿</w:t>
      </w:r>
      <w:r w:rsidRPr="0006087D">
        <w:rPr>
          <w:rFonts w:ascii="Garamond" w:hAnsi="Garamond" w:cs="Times New Roman"/>
        </w:rPr>
        <w:t>All of the above considerations create the risk of severely impairing the quality of work of each independently engaged contractor. On the other hand, a single contractor managing the entire site ensures optimal use of the space available, reducing the risk of operational conflicts.</w:t>
      </w:r>
    </w:p>
    <w:p w14:paraId="0450F220" w14:textId="77777777" w:rsidR="00FC4783" w:rsidRPr="0006087D" w:rsidRDefault="00FC4783" w:rsidP="00CA58E5">
      <w:pPr>
        <w:pStyle w:val="ListParagraph"/>
        <w:numPr>
          <w:ilvl w:val="0"/>
          <w:numId w:val="7"/>
        </w:numPr>
        <w:spacing w:before="120" w:line="360" w:lineRule="auto"/>
        <w:jc w:val="both"/>
        <w:rPr>
          <w:rFonts w:ascii="Garamond" w:hAnsi="Garamond" w:cs="Times New Roman"/>
          <w:b/>
          <w:bCs/>
          <w:i/>
          <w:iCs/>
        </w:rPr>
      </w:pPr>
      <w:r w:rsidRPr="0006087D">
        <w:rPr>
          <w:rFonts w:ascii="Garamond" w:hAnsi="Garamond" w:cs="Times New Roman"/>
          <w:b/>
          <w:bCs/>
          <w:i/>
          <w:iCs/>
        </w:rPr>
        <w:t xml:space="preserve">Time and Scope Limitation - </w:t>
      </w:r>
    </w:p>
    <w:p w14:paraId="30655C97" w14:textId="77777777" w:rsidR="00FC4783" w:rsidRPr="0006087D" w:rsidRDefault="00FC4783" w:rsidP="00FC4783">
      <w:pPr>
        <w:pStyle w:val="ListParagraph"/>
        <w:spacing w:before="120" w:line="360" w:lineRule="auto"/>
        <w:jc w:val="both"/>
        <w:rPr>
          <w:rFonts w:ascii="Garamond" w:hAnsi="Garamond" w:cs="Times New Roman"/>
        </w:rPr>
      </w:pPr>
      <w:r w:rsidRPr="0006087D">
        <w:rPr>
          <w:rFonts w:ascii="Garamond" w:hAnsi="Garamond" w:cs="Times New Roman"/>
        </w:rPr>
        <w:t xml:space="preserve">The Tender Document provides that </w:t>
      </w:r>
      <w:r w:rsidRPr="0006087D">
        <w:rPr>
          <w:rFonts w:ascii="Garamond" w:hAnsi="Garamond" w:cs="Times New Roman"/>
          <w:i/>
          <w:iCs/>
        </w:rPr>
        <w:t>"the time-limits for the execution of the contract shall be twenty-six (26) calendar weeks from the Commencement Date, and subsequently five (5) year maintenance services commencing from date of provisional acceptance... "</w:t>
      </w:r>
      <w:r w:rsidRPr="0006087D">
        <w:rPr>
          <w:rFonts w:ascii="Garamond" w:hAnsi="Garamond" w:cs="Times New Roman"/>
        </w:rPr>
        <w:t xml:space="preserve">. </w:t>
      </w:r>
      <w:r w:rsidRPr="0006087D">
        <w:rPr>
          <w:rFonts w:ascii="Tahoma" w:hAnsi="Tahoma" w:cs="Tahoma"/>
        </w:rPr>
        <w:t>﻿﻿﻿﻿</w:t>
      </w:r>
      <w:r w:rsidRPr="0006087D">
        <w:rPr>
          <w:rFonts w:ascii="Garamond" w:hAnsi="Garamond" w:cs="Times New Roman"/>
        </w:rPr>
        <w:t xml:space="preserve">Dividing the Tender into lots would create a fragmented workflow. Each phase would need to be completed within a short period, leaving contractors with insufficient time to set up, execute, and subsequently discharge their operations effectively. </w:t>
      </w:r>
      <w:r w:rsidRPr="0006087D">
        <w:rPr>
          <w:rFonts w:ascii="Tahoma" w:hAnsi="Tahoma" w:cs="Tahoma"/>
        </w:rPr>
        <w:t>﻿﻿﻿﻿</w:t>
      </w:r>
      <w:r w:rsidRPr="0006087D">
        <w:rPr>
          <w:rFonts w:ascii="Garamond" w:hAnsi="Garamond" w:cs="Times New Roman"/>
        </w:rPr>
        <w:t xml:space="preserve">The division of works into separate lots would inherently dilute the overall scope of the tender if these components </w:t>
      </w:r>
      <w:proofErr w:type="gramStart"/>
      <w:r w:rsidRPr="0006087D">
        <w:rPr>
          <w:rFonts w:ascii="Garamond" w:hAnsi="Garamond" w:cs="Times New Roman"/>
        </w:rPr>
        <w:t>are</w:t>
      </w:r>
      <w:proofErr w:type="gramEnd"/>
      <w:r w:rsidRPr="0006087D">
        <w:rPr>
          <w:rFonts w:ascii="Garamond" w:hAnsi="Garamond" w:cs="Times New Roman"/>
        </w:rPr>
        <w:t xml:space="preserve"> carried out independently. Each lot is interdependent, and the successful execution of the tender relies on all lots being awarded. If any lot remains unawarded, it could compromise the feasibility of the remaining lots, leading to potential cancellation of the entire tender. This interconnectedness may discourage participation from contractors who find it uneconomical or impractical to bid on isolated components, resulting in low participation or even no bids for certain phases. Such a situation would place the project timeline and continuity at significant risk, potentially causing delays or incomplete execution.</w:t>
      </w:r>
    </w:p>
    <w:p w14:paraId="3B9DD1B7" w14:textId="77777777" w:rsidR="00FC4783" w:rsidRPr="0006087D" w:rsidRDefault="00FC4783" w:rsidP="00CA58E5">
      <w:pPr>
        <w:pStyle w:val="ListParagraph"/>
        <w:numPr>
          <w:ilvl w:val="0"/>
          <w:numId w:val="7"/>
        </w:numPr>
        <w:spacing w:before="120" w:line="360" w:lineRule="auto"/>
        <w:jc w:val="both"/>
        <w:rPr>
          <w:rFonts w:ascii="Garamond" w:hAnsi="Garamond" w:cs="Times New Roman"/>
          <w:b/>
          <w:bCs/>
          <w:i/>
          <w:iCs/>
        </w:rPr>
      </w:pPr>
      <w:r w:rsidRPr="0006087D">
        <w:rPr>
          <w:rFonts w:ascii="Garamond" w:hAnsi="Garamond" w:cs="Times New Roman"/>
          <w:b/>
          <w:bCs/>
          <w:i/>
          <w:iCs/>
        </w:rPr>
        <w:t xml:space="preserve">Safety and Liability - </w:t>
      </w:r>
    </w:p>
    <w:p w14:paraId="3083308C" w14:textId="77777777" w:rsidR="00FC4783" w:rsidRPr="0006087D" w:rsidRDefault="00FC4783" w:rsidP="00FC4783">
      <w:pPr>
        <w:pStyle w:val="ListParagraph"/>
        <w:spacing w:before="120" w:line="360" w:lineRule="auto"/>
        <w:jc w:val="both"/>
        <w:rPr>
          <w:rFonts w:ascii="Garamond" w:hAnsi="Garamond" w:cs="Times New Roman"/>
        </w:rPr>
      </w:pPr>
      <w:r w:rsidRPr="0006087D">
        <w:rPr>
          <w:rFonts w:ascii="Garamond" w:hAnsi="Garamond" w:cs="Times New Roman"/>
        </w:rPr>
        <w:t xml:space="preserve">Having more than one contractor working independently on the same site would inevitably lead to accountability disputes and blame-shifting. Overlapping responsibilities between contractors increase the potential for disputes and delays, making it challenging to ascertain accountability for </w:t>
      </w:r>
      <w:r w:rsidRPr="0006087D">
        <w:rPr>
          <w:rFonts w:ascii="Garamond" w:hAnsi="Garamond" w:cs="Times New Roman"/>
        </w:rPr>
        <w:lastRenderedPageBreak/>
        <w:t xml:space="preserve">defects, delays, or safety incidents. </w:t>
      </w:r>
      <w:r w:rsidRPr="0006087D">
        <w:rPr>
          <w:rFonts w:ascii="Tahoma" w:hAnsi="Tahoma" w:cs="Tahoma"/>
        </w:rPr>
        <w:t>﻿﻿﻿﻿</w:t>
      </w:r>
      <w:r w:rsidRPr="0006087D">
        <w:rPr>
          <w:rFonts w:ascii="Garamond" w:hAnsi="Garamond" w:cs="Times New Roman"/>
        </w:rPr>
        <w:t xml:space="preserve">Additionally, having multiple contractors working in a confined area increase the likelihood of safety breaches, accidents, and </w:t>
      </w:r>
      <w:proofErr w:type="spellStart"/>
      <w:r w:rsidRPr="0006087D">
        <w:rPr>
          <w:rFonts w:ascii="Garamond" w:hAnsi="Garamond" w:cs="Times New Roman"/>
        </w:rPr>
        <w:t>inefficiencics</w:t>
      </w:r>
      <w:proofErr w:type="spellEnd"/>
      <w:r w:rsidRPr="0006087D">
        <w:rPr>
          <w:rFonts w:ascii="Garamond" w:hAnsi="Garamond" w:cs="Times New Roman"/>
        </w:rPr>
        <w:t xml:space="preserve">. As a result, compliance with safety and quality standards set by the Building and Construction Authority becomes more complex. On the other hand, it is easier for a single contractor to coordinate and manage the overall site, ensuring the welfare of all personnel and the public. </w:t>
      </w:r>
      <w:r w:rsidRPr="0006087D">
        <w:rPr>
          <w:rFonts w:ascii="Tahoma" w:hAnsi="Tahoma" w:cs="Tahoma"/>
        </w:rPr>
        <w:t>﻿﻿﻿﻿</w:t>
      </w:r>
      <w:r w:rsidRPr="0006087D">
        <w:rPr>
          <w:rFonts w:ascii="Garamond" w:hAnsi="Garamond" w:cs="Times New Roman"/>
        </w:rPr>
        <w:t>Not dividing the Tender also streamlines communication, as having a single point of reference enables smoother coordination and decision-making, which is vital for the successful execution of the project.</w:t>
      </w:r>
    </w:p>
    <w:p w14:paraId="33EA473F" w14:textId="77777777" w:rsidR="00FC4783" w:rsidRPr="0006087D" w:rsidRDefault="00FC4783" w:rsidP="00CA58E5">
      <w:pPr>
        <w:pStyle w:val="ListParagraph"/>
        <w:numPr>
          <w:ilvl w:val="0"/>
          <w:numId w:val="7"/>
        </w:numPr>
        <w:spacing w:before="120" w:line="360" w:lineRule="auto"/>
        <w:jc w:val="both"/>
        <w:rPr>
          <w:rFonts w:ascii="Garamond" w:hAnsi="Garamond" w:cs="Times New Roman"/>
          <w:b/>
          <w:bCs/>
          <w:i/>
          <w:iCs/>
        </w:rPr>
      </w:pPr>
      <w:r w:rsidRPr="0006087D">
        <w:rPr>
          <w:rFonts w:ascii="Garamond" w:hAnsi="Garamond" w:cs="Times New Roman"/>
          <w:b/>
          <w:bCs/>
          <w:i/>
          <w:iCs/>
        </w:rPr>
        <w:t xml:space="preserve">Economic Viability - </w:t>
      </w:r>
    </w:p>
    <w:p w14:paraId="3DBC144D" w14:textId="77777777" w:rsidR="00FC4783" w:rsidRPr="0006087D" w:rsidRDefault="00FC4783" w:rsidP="00FC4783">
      <w:pPr>
        <w:pStyle w:val="ListParagraph"/>
        <w:spacing w:before="120" w:line="360" w:lineRule="auto"/>
        <w:jc w:val="both"/>
        <w:rPr>
          <w:rFonts w:ascii="Garamond" w:hAnsi="Garamond" w:cs="Times New Roman"/>
        </w:rPr>
      </w:pPr>
      <w:r w:rsidRPr="0006087D">
        <w:rPr>
          <w:rFonts w:ascii="Tahoma" w:hAnsi="Tahoma" w:cs="Tahoma"/>
        </w:rPr>
        <w:t>﻿﻿﻿﻿</w:t>
      </w:r>
      <w:r w:rsidRPr="0006087D">
        <w:rPr>
          <w:rFonts w:ascii="Garamond" w:hAnsi="Garamond" w:cs="Times New Roman"/>
        </w:rPr>
        <w:t xml:space="preserve">Dividing the Tender is neither practical from a financial perspective. Certain phases consist of minor civil works, such as site clearance works and excavation works, which may therefore not attract competitive bids due to their limited scope and profitability. It is imperative that each subject of this Tender is not interpreted in a restrictive manner but rather applied in the context of the nature of the works to be carried out under this Tender. </w:t>
      </w:r>
      <w:r w:rsidRPr="0006087D">
        <w:rPr>
          <w:rFonts w:ascii="Tahoma" w:hAnsi="Tahoma" w:cs="Tahoma"/>
        </w:rPr>
        <w:t>﻿﻿﻿﻿</w:t>
      </w:r>
      <w:r w:rsidRPr="0006087D">
        <w:rPr>
          <w:rFonts w:ascii="Garamond" w:hAnsi="Garamond" w:cs="Times New Roman"/>
        </w:rPr>
        <w:t>There is no limitation on the extent of subcontracting allowed under the Tender Procurement Document. Since working on smaller lots only might not be financially viable for most contractors, the Tender Procurement Document provides flexibility for the awarded contractor to subcontract work for specific phases of the project. This approach ensures that the required expertise is leveraged while maintaining overall accountability and cohesion.</w:t>
      </w:r>
    </w:p>
    <w:p w14:paraId="36187255" w14:textId="77777777" w:rsidR="0004659D" w:rsidRPr="0004659D" w:rsidRDefault="0004659D" w:rsidP="0004659D">
      <w:pPr>
        <w:pStyle w:val="ListParagraph"/>
        <w:spacing w:before="120" w:line="360" w:lineRule="auto"/>
        <w:jc w:val="both"/>
        <w:rPr>
          <w:rFonts w:ascii="Garamond" w:hAnsi="Garamond" w:cs="Times New Roman"/>
        </w:rPr>
      </w:pPr>
    </w:p>
    <w:p w14:paraId="35FB5F00" w14:textId="5B264585" w:rsidR="003B5AE0" w:rsidRDefault="006B66F6" w:rsidP="003B5AE0">
      <w:pPr>
        <w:spacing w:before="120" w:line="360" w:lineRule="auto"/>
        <w:jc w:val="both"/>
        <w:rPr>
          <w:rFonts w:ascii="Garamond" w:hAnsi="Garamond" w:cs="Times New Roman"/>
        </w:rPr>
      </w:pPr>
      <w:r w:rsidRPr="00671AF8">
        <w:rPr>
          <w:rFonts w:ascii="Garamond" w:hAnsi="Garamond" w:cs="Times New Roman"/>
        </w:rPr>
        <w:t>T</w:t>
      </w:r>
      <w:r w:rsidR="005A0CB6" w:rsidRPr="00671AF8">
        <w:rPr>
          <w:rFonts w:ascii="Garamond" w:hAnsi="Garamond" w:cs="Times New Roman"/>
        </w:rPr>
        <w:t xml:space="preserve">his Board, after </w:t>
      </w:r>
      <w:r w:rsidR="005A0CB6" w:rsidRPr="00D83BE7">
        <w:rPr>
          <w:rFonts w:ascii="Garamond" w:hAnsi="Garamond" w:cs="Times New Roman"/>
        </w:rPr>
        <w:t>having examined the relevant documentation to this appeal and heard submissions made by all the interested parties</w:t>
      </w:r>
      <w:r w:rsidR="00D83BE7" w:rsidRPr="00D83BE7">
        <w:rPr>
          <w:rFonts w:ascii="Garamond" w:hAnsi="Garamond" w:cs="Times New Roman"/>
        </w:rPr>
        <w:t xml:space="preserve"> including the testimony of the witnesses duly summoned</w:t>
      </w:r>
      <w:r w:rsidR="0004659D" w:rsidRPr="00D83BE7">
        <w:rPr>
          <w:rFonts w:ascii="Garamond" w:hAnsi="Garamond" w:cs="Times New Roman"/>
        </w:rPr>
        <w:t xml:space="preserve">, </w:t>
      </w:r>
      <w:r w:rsidR="005A0CB6" w:rsidRPr="00D83BE7">
        <w:rPr>
          <w:rFonts w:ascii="Garamond" w:hAnsi="Garamond" w:cs="Times New Roman"/>
        </w:rPr>
        <w:t xml:space="preserve">will </w:t>
      </w:r>
      <w:r w:rsidR="00F75568" w:rsidRPr="00D83BE7">
        <w:rPr>
          <w:rFonts w:ascii="Garamond" w:hAnsi="Garamond" w:cs="Times New Roman"/>
        </w:rPr>
        <w:t>now</w:t>
      </w:r>
      <w:r w:rsidR="00F75568" w:rsidRPr="00671AF8">
        <w:rPr>
          <w:rFonts w:ascii="Garamond" w:hAnsi="Garamond" w:cs="Times New Roman"/>
        </w:rPr>
        <w:t xml:space="preserve"> </w:t>
      </w:r>
      <w:r w:rsidR="005A0CB6" w:rsidRPr="00671AF8">
        <w:rPr>
          <w:rFonts w:ascii="Garamond" w:hAnsi="Garamond" w:cs="Times New Roman"/>
        </w:rPr>
        <w:t>consider Appellant’s grievances</w:t>
      </w:r>
      <w:r w:rsidR="00F75568" w:rsidRPr="00671AF8">
        <w:rPr>
          <w:rFonts w:ascii="Garamond" w:hAnsi="Garamond" w:cs="Times New Roman"/>
        </w:rPr>
        <w:t>.</w:t>
      </w:r>
    </w:p>
    <w:p w14:paraId="4C4EAED6" w14:textId="652A604A" w:rsidR="007509F5" w:rsidRPr="007509F5" w:rsidRDefault="007509F5" w:rsidP="00CA58E5">
      <w:pPr>
        <w:pStyle w:val="ListParagraph"/>
        <w:numPr>
          <w:ilvl w:val="0"/>
          <w:numId w:val="8"/>
        </w:numPr>
        <w:spacing w:before="120" w:line="360" w:lineRule="auto"/>
        <w:jc w:val="both"/>
        <w:rPr>
          <w:rFonts w:ascii="Garamond" w:hAnsi="Garamond" w:cs="Times New Roman"/>
        </w:rPr>
      </w:pPr>
      <w:r w:rsidRPr="007509F5">
        <w:rPr>
          <w:rFonts w:ascii="Garamond" w:hAnsi="Garamond" w:cs="Times New Roman"/>
        </w:rPr>
        <w:t>The Board initially notes the following:</w:t>
      </w:r>
    </w:p>
    <w:bookmarkEnd w:id="0"/>
    <w:p w14:paraId="49F676D8" w14:textId="666A9458" w:rsidR="00457D18" w:rsidRPr="00314EFC" w:rsidRDefault="007A62A2" w:rsidP="00CA58E5">
      <w:pPr>
        <w:pStyle w:val="ListParagraph"/>
        <w:numPr>
          <w:ilvl w:val="1"/>
          <w:numId w:val="9"/>
        </w:numPr>
        <w:spacing w:before="120" w:line="360" w:lineRule="auto"/>
        <w:ind w:left="1134"/>
        <w:jc w:val="both"/>
        <w:rPr>
          <w:rFonts w:ascii="Garamond" w:hAnsi="Garamond" w:cs="Times New Roman"/>
        </w:rPr>
      </w:pPr>
      <w:r>
        <w:rPr>
          <w:rFonts w:ascii="Garamond" w:hAnsi="Garamond" w:cs="Times New Roman"/>
        </w:rPr>
        <w:t>T</w:t>
      </w:r>
      <w:r w:rsidR="00457D18" w:rsidRPr="00314EFC">
        <w:rPr>
          <w:rFonts w:ascii="Garamond" w:hAnsi="Garamond" w:cs="Times New Roman"/>
        </w:rPr>
        <w:t>he Appellant’s contention that the tender should have been divided into lots, and that failure to do so restricts competition contrary to Regulation 39 of the Public Procurement Regulations and EU Directive 2014/24/EU;</w:t>
      </w:r>
    </w:p>
    <w:p w14:paraId="0F3A267F" w14:textId="1608AE71" w:rsidR="00457D18" w:rsidRPr="00314EFC" w:rsidRDefault="007A62A2" w:rsidP="00CA58E5">
      <w:pPr>
        <w:pStyle w:val="ListParagraph"/>
        <w:numPr>
          <w:ilvl w:val="1"/>
          <w:numId w:val="9"/>
        </w:numPr>
        <w:spacing w:before="120" w:line="360" w:lineRule="auto"/>
        <w:ind w:left="1134"/>
        <w:jc w:val="both"/>
        <w:rPr>
          <w:rFonts w:ascii="Garamond" w:hAnsi="Garamond" w:cs="Times New Roman"/>
        </w:rPr>
      </w:pPr>
      <w:r>
        <w:rPr>
          <w:rFonts w:ascii="Garamond" w:hAnsi="Garamond" w:cs="Times New Roman"/>
        </w:rPr>
        <w:t>T</w:t>
      </w:r>
      <w:r w:rsidR="00457D18" w:rsidRPr="00314EFC">
        <w:rPr>
          <w:rFonts w:ascii="Garamond" w:hAnsi="Garamond" w:cs="Times New Roman"/>
        </w:rPr>
        <w:t>he Contracting Authority’s justification that the tender was intentionally issued as a single lot to safeguard logistical coordination, ensure timely completion within the stipulated twenty-six weeks, maintain safety and accountability on a confined site, and preserve economic viability, while still allowing for subcontracting arrangements;</w:t>
      </w:r>
    </w:p>
    <w:p w14:paraId="44E38A70" w14:textId="15E3DBCE" w:rsidR="00457D18" w:rsidRPr="00314EFC" w:rsidRDefault="00457D18" w:rsidP="00CA58E5">
      <w:pPr>
        <w:pStyle w:val="ListParagraph"/>
        <w:numPr>
          <w:ilvl w:val="1"/>
          <w:numId w:val="9"/>
        </w:numPr>
        <w:spacing w:before="120" w:line="360" w:lineRule="auto"/>
        <w:ind w:left="1134"/>
        <w:jc w:val="both"/>
        <w:rPr>
          <w:rFonts w:ascii="Garamond" w:hAnsi="Garamond" w:cs="Times New Roman"/>
        </w:rPr>
      </w:pPr>
      <w:r w:rsidRPr="00314EFC">
        <w:rPr>
          <w:rFonts w:ascii="Garamond" w:hAnsi="Garamond" w:cs="Times New Roman"/>
        </w:rPr>
        <w:t>Having established that, in accordance with Regulation 33 of the Public Procurement Regulations and Article 46 of Directive 2014/24/EU, the division of a contract into lots is a prerogative vested in the Contracting Authority, which may</w:t>
      </w:r>
      <w:r w:rsidR="009C3181">
        <w:rPr>
          <w:rFonts w:ascii="Garamond" w:hAnsi="Garamond" w:cs="Times New Roman"/>
        </w:rPr>
        <w:t xml:space="preserve">, </w:t>
      </w:r>
      <w:r w:rsidRPr="00314EFC">
        <w:rPr>
          <w:rFonts w:ascii="Garamond" w:hAnsi="Garamond" w:cs="Times New Roman"/>
        </w:rPr>
        <w:t xml:space="preserve">though is not obliged </w:t>
      </w:r>
      <w:proofErr w:type="gramStart"/>
      <w:r w:rsidRPr="00314EFC">
        <w:rPr>
          <w:rFonts w:ascii="Garamond" w:hAnsi="Garamond" w:cs="Times New Roman"/>
        </w:rPr>
        <w:t>to</w:t>
      </w:r>
      <w:r w:rsidR="009C3181">
        <w:rPr>
          <w:rFonts w:ascii="Garamond" w:hAnsi="Garamond" w:cs="Times New Roman"/>
        </w:rPr>
        <w:t>,</w:t>
      </w:r>
      <w:proofErr w:type="gramEnd"/>
      <w:r w:rsidR="009C3181">
        <w:rPr>
          <w:rFonts w:ascii="Garamond" w:hAnsi="Garamond" w:cs="Times New Roman"/>
        </w:rPr>
        <w:t xml:space="preserve"> </w:t>
      </w:r>
      <w:r w:rsidRPr="00314EFC">
        <w:rPr>
          <w:rFonts w:ascii="Garamond" w:hAnsi="Garamond" w:cs="Times New Roman"/>
        </w:rPr>
        <w:t>exercise such discretion;</w:t>
      </w:r>
    </w:p>
    <w:p w14:paraId="6842BC48" w14:textId="77777777" w:rsidR="00457D18" w:rsidRPr="00314EFC" w:rsidRDefault="00457D18" w:rsidP="00CA58E5">
      <w:pPr>
        <w:pStyle w:val="ListParagraph"/>
        <w:numPr>
          <w:ilvl w:val="1"/>
          <w:numId w:val="9"/>
        </w:numPr>
        <w:spacing w:before="120" w:line="360" w:lineRule="auto"/>
        <w:ind w:left="1134"/>
        <w:jc w:val="both"/>
        <w:rPr>
          <w:rFonts w:ascii="Garamond" w:hAnsi="Garamond" w:cs="Times New Roman"/>
        </w:rPr>
      </w:pPr>
      <w:r w:rsidRPr="00314EFC">
        <w:rPr>
          <w:rFonts w:ascii="Garamond" w:hAnsi="Garamond" w:cs="Times New Roman"/>
        </w:rPr>
        <w:t>Having also taken into account Recital 78 of the Directive, which recognises that in certain circumstances the division of contracts may risk undermining the proper execution of the works;</w:t>
      </w:r>
    </w:p>
    <w:p w14:paraId="4E0810C1" w14:textId="77777777" w:rsidR="00B26484" w:rsidRDefault="00457D18" w:rsidP="00CA58E5">
      <w:pPr>
        <w:pStyle w:val="ListParagraph"/>
        <w:numPr>
          <w:ilvl w:val="0"/>
          <w:numId w:val="9"/>
        </w:numPr>
        <w:spacing w:before="120" w:line="360" w:lineRule="auto"/>
        <w:jc w:val="both"/>
        <w:rPr>
          <w:rFonts w:ascii="Garamond" w:hAnsi="Garamond" w:cs="Times New Roman"/>
        </w:rPr>
      </w:pPr>
      <w:r w:rsidRPr="00B26484">
        <w:rPr>
          <w:rFonts w:ascii="Garamond" w:hAnsi="Garamond" w:cs="Times New Roman"/>
        </w:rPr>
        <w:lastRenderedPageBreak/>
        <w:t xml:space="preserve">The Board observes that the tender documentation contained a clear and explicit justification for not dividing the works into separate lots. The Contracting Authority rightly identified that the overlapping and interdependent nature of the works, particularly, the installation of the irrigation system and the simultaneous requirements of excavation, infrastructure, and landscaping, necessitated a unified approach. </w:t>
      </w:r>
    </w:p>
    <w:p w14:paraId="633E0EF0" w14:textId="53FA2C3C" w:rsidR="00457D18" w:rsidRPr="00B26484" w:rsidRDefault="008D295C" w:rsidP="00CA58E5">
      <w:pPr>
        <w:pStyle w:val="ListParagraph"/>
        <w:numPr>
          <w:ilvl w:val="0"/>
          <w:numId w:val="9"/>
        </w:numPr>
        <w:spacing w:before="120" w:line="360" w:lineRule="auto"/>
        <w:jc w:val="both"/>
        <w:rPr>
          <w:rFonts w:ascii="Garamond" w:hAnsi="Garamond" w:cs="Times New Roman"/>
        </w:rPr>
      </w:pPr>
      <w:r w:rsidRPr="00B26484">
        <w:rPr>
          <w:rFonts w:ascii="Garamond" w:hAnsi="Garamond" w:cs="Times New Roman"/>
        </w:rPr>
        <w:t xml:space="preserve">Moreover, the Board notes that the contract requires a five-year maintenance period following completion of the works. </w:t>
      </w:r>
      <w:r w:rsidR="00893CC6" w:rsidRPr="00B26484">
        <w:rPr>
          <w:rFonts w:ascii="Garamond" w:hAnsi="Garamond" w:cs="Times New Roman"/>
        </w:rPr>
        <w:t>The Board believes that this</w:t>
      </w:r>
      <w:r w:rsidRPr="00B26484">
        <w:rPr>
          <w:rFonts w:ascii="Garamond" w:hAnsi="Garamond" w:cs="Times New Roman"/>
        </w:rPr>
        <w:t xml:space="preserve"> ongoing obligation</w:t>
      </w:r>
      <w:r w:rsidR="00893CC6" w:rsidRPr="00B26484">
        <w:rPr>
          <w:rFonts w:ascii="Garamond" w:hAnsi="Garamond" w:cs="Times New Roman"/>
        </w:rPr>
        <w:t xml:space="preserve">, </w:t>
      </w:r>
      <w:r w:rsidRPr="00B26484">
        <w:rPr>
          <w:rFonts w:ascii="Garamond" w:hAnsi="Garamond" w:cs="Times New Roman"/>
        </w:rPr>
        <w:t xml:space="preserve">makes accountability and continuity </w:t>
      </w:r>
      <w:r w:rsidR="00893CC6" w:rsidRPr="00B26484">
        <w:rPr>
          <w:rFonts w:ascii="Garamond" w:hAnsi="Garamond" w:cs="Times New Roman"/>
        </w:rPr>
        <w:t>of performance even more critical. Assigning different contractors to distinct portions of the project would fragment responsibility and complicate liability for deficiencies during the maintenance phase. Thus, t</w:t>
      </w:r>
      <w:r w:rsidR="00457D18" w:rsidRPr="00B26484">
        <w:rPr>
          <w:rFonts w:ascii="Garamond" w:hAnsi="Garamond" w:cs="Times New Roman"/>
        </w:rPr>
        <w:t xml:space="preserve">he Board finds </w:t>
      </w:r>
      <w:r w:rsidR="00893CC6" w:rsidRPr="00B26484">
        <w:rPr>
          <w:rFonts w:ascii="Garamond" w:hAnsi="Garamond" w:cs="Times New Roman"/>
        </w:rPr>
        <w:t>the Contracting Authority’s</w:t>
      </w:r>
      <w:r w:rsidR="00457D18" w:rsidRPr="00B26484">
        <w:rPr>
          <w:rFonts w:ascii="Garamond" w:hAnsi="Garamond" w:cs="Times New Roman"/>
        </w:rPr>
        <w:t xml:space="preserve"> reasoning consistent with both the letter and spirit of EU procurement law, which recognises the </w:t>
      </w:r>
      <w:r w:rsidR="00457D18" w:rsidRPr="00B26484">
        <w:rPr>
          <w:rFonts w:ascii="Garamond" w:hAnsi="Garamond" w:cs="Times New Roman"/>
          <w:b/>
          <w:bCs/>
        </w:rPr>
        <w:t>balance</w:t>
      </w:r>
      <w:r w:rsidR="00457D18" w:rsidRPr="00B26484">
        <w:rPr>
          <w:rFonts w:ascii="Garamond" w:hAnsi="Garamond" w:cs="Times New Roman"/>
        </w:rPr>
        <w:t xml:space="preserve"> </w:t>
      </w:r>
      <w:r w:rsidR="00457D18" w:rsidRPr="00B26484">
        <w:rPr>
          <w:rFonts w:ascii="Garamond" w:hAnsi="Garamond" w:cs="Times New Roman"/>
          <w:i/>
          <w:iCs/>
        </w:rPr>
        <w:t>[Board emphasis]</w:t>
      </w:r>
      <w:r w:rsidR="00457D18" w:rsidRPr="00B26484">
        <w:rPr>
          <w:rFonts w:ascii="Garamond" w:hAnsi="Garamond" w:cs="Times New Roman"/>
        </w:rPr>
        <w:t xml:space="preserve"> between promoting competition and ensuring effective contract delivery.</w:t>
      </w:r>
    </w:p>
    <w:p w14:paraId="5ED005E5" w14:textId="77777777" w:rsidR="00457D18" w:rsidRPr="00A42B2B" w:rsidRDefault="00457D18" w:rsidP="00CA58E5">
      <w:pPr>
        <w:pStyle w:val="ListParagraph"/>
        <w:numPr>
          <w:ilvl w:val="0"/>
          <w:numId w:val="9"/>
        </w:numPr>
        <w:spacing w:before="120" w:line="360" w:lineRule="auto"/>
        <w:jc w:val="both"/>
        <w:rPr>
          <w:rFonts w:ascii="Garamond" w:hAnsi="Garamond" w:cs="Times New Roman"/>
        </w:rPr>
      </w:pPr>
      <w:r w:rsidRPr="00A42B2B">
        <w:rPr>
          <w:rFonts w:ascii="Garamond" w:hAnsi="Garamond" w:cs="Times New Roman"/>
        </w:rPr>
        <w:t>The Board further notes that the tender expressly allowed for subcontracting and joint ventures, thereby ensuring that specialist operators, including SMEs, were not excluded from participation but could instead contribute under the coordination of the main contractor. This mechanism sufficiently safeguards competition while maintaining overall accountability.</w:t>
      </w:r>
    </w:p>
    <w:p w14:paraId="6D7F13EE" w14:textId="691249DB" w:rsidR="00457D18" w:rsidRPr="00CA58E5" w:rsidRDefault="008D295C" w:rsidP="00CA58E5">
      <w:pPr>
        <w:pStyle w:val="ListParagraph"/>
        <w:numPr>
          <w:ilvl w:val="0"/>
          <w:numId w:val="9"/>
        </w:numPr>
        <w:spacing w:before="120" w:line="360" w:lineRule="auto"/>
        <w:jc w:val="both"/>
        <w:rPr>
          <w:rFonts w:ascii="Garamond" w:hAnsi="Garamond" w:cs="Times New Roman"/>
        </w:rPr>
      </w:pPr>
      <w:r w:rsidRPr="00CA58E5">
        <w:rPr>
          <w:rFonts w:ascii="Garamond" w:hAnsi="Garamond" w:cs="Times New Roman"/>
        </w:rPr>
        <w:t>Furthermore, t</w:t>
      </w:r>
      <w:r w:rsidR="00457D18" w:rsidRPr="00CA58E5">
        <w:rPr>
          <w:rFonts w:ascii="Garamond" w:hAnsi="Garamond" w:cs="Times New Roman"/>
        </w:rPr>
        <w:t>he Appellant has not provided sufficient evidence that the design of the procurement was made with the intention of unduly favouring or disadvantaging specific operators, as prohibited by Regulation 39(3) of the Public Procurement Regulations</w:t>
      </w:r>
      <w:r w:rsidR="00893CC6" w:rsidRPr="00CA58E5">
        <w:rPr>
          <w:rFonts w:ascii="Garamond" w:hAnsi="Garamond" w:cs="Times New Roman"/>
        </w:rPr>
        <w:t>.</w:t>
      </w:r>
    </w:p>
    <w:p w14:paraId="67E0C6AC" w14:textId="0856F28B" w:rsidR="00F4217E" w:rsidRPr="0046089C" w:rsidRDefault="00457D18" w:rsidP="00FC56FC">
      <w:pPr>
        <w:pStyle w:val="ListParagraph"/>
        <w:numPr>
          <w:ilvl w:val="0"/>
          <w:numId w:val="9"/>
        </w:numPr>
        <w:spacing w:before="120" w:line="360" w:lineRule="auto"/>
        <w:jc w:val="both"/>
        <w:rPr>
          <w:rFonts w:ascii="Garamond" w:hAnsi="Garamond" w:cs="Times New Roman"/>
        </w:rPr>
      </w:pPr>
      <w:r w:rsidRPr="00CA58E5">
        <w:rPr>
          <w:rFonts w:ascii="Garamond" w:hAnsi="Garamond" w:cs="Times New Roman"/>
        </w:rPr>
        <w:t>The Board also recalls its own precedents, wherein it has consistently affirmed that the decision to divide or not to divide a tender into lots lies within the competence of the Contracting Authority, provided such decision is supported by adequate justification. In the present case, the justification was duly provided and corroborated by testimony.</w:t>
      </w:r>
    </w:p>
    <w:p w14:paraId="5C071DAC" w14:textId="3529315A" w:rsidR="00125EC6" w:rsidRPr="00671AF8" w:rsidRDefault="0058430F" w:rsidP="00FC56FC">
      <w:pPr>
        <w:spacing w:before="120" w:line="360" w:lineRule="auto"/>
        <w:jc w:val="both"/>
        <w:rPr>
          <w:rFonts w:ascii="Garamond" w:hAnsi="Garamond" w:cs="Times New Roman"/>
          <w:b/>
          <w:bCs/>
        </w:rPr>
      </w:pPr>
      <w:r w:rsidRPr="00671AF8">
        <w:rPr>
          <w:rFonts w:ascii="Garamond" w:hAnsi="Garamond" w:cs="Times New Roman"/>
          <w:b/>
          <w:bCs/>
        </w:rPr>
        <w:t>T</w:t>
      </w:r>
      <w:r w:rsidR="003F4C14" w:rsidRPr="00671AF8">
        <w:rPr>
          <w:rFonts w:ascii="Garamond" w:hAnsi="Garamond" w:cs="Times New Roman"/>
          <w:b/>
          <w:bCs/>
        </w:rPr>
        <w:t>h</w:t>
      </w:r>
      <w:r w:rsidRPr="00671AF8">
        <w:rPr>
          <w:rFonts w:ascii="Garamond" w:hAnsi="Garamond" w:cs="Times New Roman"/>
          <w:b/>
          <w:bCs/>
        </w:rPr>
        <w:t>e</w:t>
      </w:r>
      <w:r w:rsidR="003F4C14" w:rsidRPr="00671AF8">
        <w:rPr>
          <w:rFonts w:ascii="Garamond" w:hAnsi="Garamond" w:cs="Times New Roman"/>
          <w:b/>
          <w:bCs/>
        </w:rPr>
        <w:t xml:space="preserve"> </w:t>
      </w:r>
      <w:r w:rsidR="00125EC6" w:rsidRPr="00671AF8">
        <w:rPr>
          <w:rFonts w:ascii="Garamond" w:hAnsi="Garamond" w:cs="Times New Roman"/>
          <w:b/>
          <w:bCs/>
        </w:rPr>
        <w:t>Board</w:t>
      </w:r>
      <w:r w:rsidRPr="00671AF8">
        <w:rPr>
          <w:rFonts w:ascii="Garamond" w:hAnsi="Garamond" w:cs="Times New Roman"/>
          <w:b/>
          <w:bCs/>
        </w:rPr>
        <w:t>,</w:t>
      </w:r>
    </w:p>
    <w:p w14:paraId="180A2B0D" w14:textId="77777777" w:rsidR="00125EC6" w:rsidRPr="00671AF8" w:rsidRDefault="00125EC6" w:rsidP="00FC56FC">
      <w:pPr>
        <w:spacing w:before="120" w:line="360" w:lineRule="auto"/>
        <w:jc w:val="both"/>
        <w:rPr>
          <w:rFonts w:ascii="Garamond" w:hAnsi="Garamond" w:cs="Times New Roman"/>
        </w:rPr>
      </w:pPr>
      <w:r w:rsidRPr="00671AF8">
        <w:rPr>
          <w:rFonts w:ascii="Garamond" w:hAnsi="Garamond" w:cs="Times New Roman"/>
        </w:rPr>
        <w:t xml:space="preserve">Having evaluated all the above and </w:t>
      </w:r>
      <w:r w:rsidR="00DA59EF" w:rsidRPr="00671AF8">
        <w:rPr>
          <w:rFonts w:ascii="Garamond" w:hAnsi="Garamond" w:cs="Times New Roman"/>
        </w:rPr>
        <w:t>based on the above considerations, concludes and decides:</w:t>
      </w:r>
    </w:p>
    <w:p w14:paraId="4D9AAE28" w14:textId="15C09B45" w:rsidR="001C719E" w:rsidRPr="00476B9D" w:rsidRDefault="000A3FB3" w:rsidP="001C719E">
      <w:pPr>
        <w:pStyle w:val="ListParagraph"/>
        <w:numPr>
          <w:ilvl w:val="0"/>
          <w:numId w:val="1"/>
        </w:numPr>
        <w:spacing w:before="120" w:line="360" w:lineRule="auto"/>
        <w:jc w:val="both"/>
        <w:rPr>
          <w:rFonts w:ascii="Garamond" w:hAnsi="Garamond" w:cs="Times New Roman"/>
        </w:rPr>
      </w:pPr>
      <w:r w:rsidRPr="00476B9D">
        <w:rPr>
          <w:rFonts w:ascii="Garamond" w:hAnsi="Garamond" w:cs="Times New Roman"/>
        </w:rPr>
        <w:t xml:space="preserve">Not </w:t>
      </w:r>
      <w:r w:rsidR="001C719E" w:rsidRPr="00476B9D">
        <w:rPr>
          <w:rFonts w:ascii="Garamond" w:hAnsi="Garamond" w:cs="Times New Roman"/>
        </w:rPr>
        <w:t xml:space="preserve">To Uphold </w:t>
      </w:r>
      <w:r w:rsidR="00AF5A8C" w:rsidRPr="00476B9D">
        <w:rPr>
          <w:rFonts w:ascii="Garamond" w:hAnsi="Garamond" w:cs="Times New Roman"/>
        </w:rPr>
        <w:t xml:space="preserve">the </w:t>
      </w:r>
      <w:r w:rsidR="00DD63D4" w:rsidRPr="00476B9D">
        <w:rPr>
          <w:rFonts w:ascii="Garamond" w:hAnsi="Garamond" w:cs="Times New Roman"/>
        </w:rPr>
        <w:t>Appellant’s</w:t>
      </w:r>
      <w:r w:rsidR="001C719E" w:rsidRPr="00476B9D">
        <w:rPr>
          <w:rFonts w:ascii="Garamond" w:hAnsi="Garamond" w:cs="Times New Roman"/>
        </w:rPr>
        <w:t xml:space="preserve"> contention</w:t>
      </w:r>
      <w:r w:rsidR="009C1371">
        <w:rPr>
          <w:rFonts w:ascii="Garamond" w:hAnsi="Garamond" w:cs="Times New Roman"/>
        </w:rPr>
        <w:t>s</w:t>
      </w:r>
      <w:r w:rsidR="00CA58E5">
        <w:rPr>
          <w:rFonts w:ascii="Garamond" w:hAnsi="Garamond" w:cs="Times New Roman"/>
        </w:rPr>
        <w:t>;</w:t>
      </w:r>
    </w:p>
    <w:p w14:paraId="3B82E4D6" w14:textId="0772828B" w:rsidR="000A3FB3" w:rsidRDefault="000A3FB3" w:rsidP="000A3FB3">
      <w:pPr>
        <w:pStyle w:val="ListParagraph"/>
        <w:numPr>
          <w:ilvl w:val="0"/>
          <w:numId w:val="1"/>
        </w:numPr>
        <w:spacing w:before="120" w:line="360" w:lineRule="auto"/>
        <w:jc w:val="both"/>
        <w:rPr>
          <w:rFonts w:ascii="Garamond" w:hAnsi="Garamond" w:cs="Times New Roman"/>
        </w:rPr>
      </w:pPr>
      <w:r w:rsidRPr="00476B9D">
        <w:rPr>
          <w:rFonts w:ascii="Garamond" w:hAnsi="Garamond" w:cs="Times New Roman"/>
        </w:rPr>
        <w:t xml:space="preserve">Upholds the Contracting Authority’s decision; </w:t>
      </w:r>
    </w:p>
    <w:p w14:paraId="123E12BA" w14:textId="098CB3CD" w:rsidR="008E0479" w:rsidRPr="00E22301" w:rsidRDefault="008E0479" w:rsidP="008E0479">
      <w:pPr>
        <w:pStyle w:val="ListParagraph"/>
        <w:numPr>
          <w:ilvl w:val="0"/>
          <w:numId w:val="1"/>
        </w:numPr>
        <w:spacing w:before="120" w:line="360" w:lineRule="auto"/>
        <w:jc w:val="both"/>
        <w:rPr>
          <w:rFonts w:ascii="Garamond" w:hAnsi="Garamond" w:cs="Times New Roman"/>
        </w:rPr>
      </w:pPr>
      <w:r w:rsidRPr="00E22301">
        <w:rPr>
          <w:rFonts w:ascii="Garamond" w:hAnsi="Garamond" w:cs="Times New Roman"/>
        </w:rPr>
        <w:t xml:space="preserve">To direct the Contracting Authority to extend the ‘Closing Date for the Submission of Tenders’ to the </w:t>
      </w:r>
      <w:r w:rsidR="00D73BED" w:rsidRPr="00E22301">
        <w:rPr>
          <w:rFonts w:ascii="Garamond" w:hAnsi="Garamond" w:cs="Times New Roman"/>
        </w:rPr>
        <w:t>12</w:t>
      </w:r>
      <w:r w:rsidR="00D73BED" w:rsidRPr="00E22301">
        <w:rPr>
          <w:rFonts w:ascii="Garamond" w:hAnsi="Garamond" w:cs="Times New Roman"/>
          <w:vertAlign w:val="superscript"/>
        </w:rPr>
        <w:t>th</w:t>
      </w:r>
      <w:r w:rsidR="00D73BED" w:rsidRPr="00E22301">
        <w:rPr>
          <w:rFonts w:ascii="Garamond" w:hAnsi="Garamond" w:cs="Times New Roman"/>
        </w:rPr>
        <w:t xml:space="preserve"> November</w:t>
      </w:r>
      <w:r w:rsidRPr="00E22301">
        <w:rPr>
          <w:rFonts w:ascii="Garamond" w:hAnsi="Garamond" w:cs="Times New Roman"/>
        </w:rPr>
        <w:t xml:space="preserve"> 2025, in order to ensure fair and equitable access for all potential tenderers; </w:t>
      </w:r>
    </w:p>
    <w:p w14:paraId="2791C641" w14:textId="59076C8D" w:rsidR="000A3FB3" w:rsidRPr="00476B9D" w:rsidRDefault="000A3FB3" w:rsidP="000A3FB3">
      <w:pPr>
        <w:pStyle w:val="ListParagraph"/>
        <w:numPr>
          <w:ilvl w:val="0"/>
          <w:numId w:val="1"/>
        </w:numPr>
        <w:spacing w:before="120" w:line="360" w:lineRule="auto"/>
        <w:jc w:val="both"/>
        <w:rPr>
          <w:rFonts w:ascii="Garamond" w:hAnsi="Garamond" w:cs="Times New Roman"/>
        </w:rPr>
      </w:pPr>
      <w:r w:rsidRPr="00476B9D">
        <w:rPr>
          <w:rFonts w:ascii="Garamond" w:hAnsi="Garamond" w:cs="Times New Roman"/>
        </w:rPr>
        <w:t>Directs that the deposit paid by the Appellant not to be reimbursed.</w:t>
      </w:r>
    </w:p>
    <w:p w14:paraId="66A4AB3F" w14:textId="77777777" w:rsidR="00DD63D4" w:rsidRDefault="00DD63D4" w:rsidP="00A8620B">
      <w:pPr>
        <w:spacing w:before="120" w:line="360" w:lineRule="auto"/>
        <w:jc w:val="both"/>
        <w:rPr>
          <w:rFonts w:ascii="Garamond" w:hAnsi="Garamond" w:cs="Times New Roman"/>
          <w:highlight w:val="yellow"/>
        </w:rPr>
      </w:pPr>
    </w:p>
    <w:p w14:paraId="73013AC9" w14:textId="77777777" w:rsidR="00B24CD1" w:rsidRDefault="00B24CD1" w:rsidP="00A8620B">
      <w:pPr>
        <w:spacing w:before="120" w:line="360" w:lineRule="auto"/>
        <w:jc w:val="both"/>
        <w:rPr>
          <w:rFonts w:ascii="Garamond" w:hAnsi="Garamond" w:cs="Times New Roman"/>
          <w:highlight w:val="yellow"/>
        </w:rPr>
      </w:pPr>
    </w:p>
    <w:p w14:paraId="57C6849C" w14:textId="77777777" w:rsidR="00B24CD1" w:rsidRPr="00074847" w:rsidRDefault="00B24CD1" w:rsidP="00A8620B">
      <w:pPr>
        <w:spacing w:before="120" w:line="360" w:lineRule="auto"/>
        <w:jc w:val="both"/>
        <w:rPr>
          <w:rFonts w:ascii="Garamond" w:hAnsi="Garamond" w:cs="Times New Roman"/>
          <w:highlight w:val="yellow"/>
        </w:rPr>
      </w:pPr>
    </w:p>
    <w:p w14:paraId="41190F74" w14:textId="68FDCD88" w:rsidR="00A8620B" w:rsidRPr="00074847" w:rsidRDefault="00A8620B" w:rsidP="00AB302D">
      <w:pPr>
        <w:spacing w:after="0" w:line="240" w:lineRule="auto"/>
        <w:jc w:val="both"/>
        <w:rPr>
          <w:rFonts w:ascii="Garamond" w:hAnsi="Garamond" w:cs="Times New Roman"/>
          <w:b/>
          <w:bCs/>
        </w:rPr>
      </w:pPr>
      <w:r w:rsidRPr="00074847">
        <w:rPr>
          <w:rFonts w:ascii="Garamond" w:hAnsi="Garamond" w:cs="Times New Roman"/>
          <w:b/>
          <w:bCs/>
        </w:rPr>
        <w:t xml:space="preserve">Mr </w:t>
      </w:r>
      <w:r w:rsidR="007F0386" w:rsidRPr="00074847">
        <w:rPr>
          <w:rFonts w:ascii="Garamond" w:hAnsi="Garamond" w:cs="Times New Roman"/>
          <w:b/>
          <w:bCs/>
        </w:rPr>
        <w:t>Kenneth Swain</w:t>
      </w:r>
      <w:r w:rsidR="00A54BCB" w:rsidRPr="00074847">
        <w:rPr>
          <w:rFonts w:ascii="Garamond" w:hAnsi="Garamond" w:cs="Times New Roman"/>
          <w:b/>
          <w:bCs/>
        </w:rPr>
        <w:tab/>
      </w:r>
      <w:r w:rsidR="00A54BCB" w:rsidRPr="00074847">
        <w:rPr>
          <w:rFonts w:ascii="Garamond" w:hAnsi="Garamond" w:cs="Times New Roman"/>
          <w:b/>
          <w:bCs/>
        </w:rPr>
        <w:tab/>
      </w:r>
      <w:r w:rsidR="00074847" w:rsidRPr="00074847">
        <w:rPr>
          <w:rFonts w:ascii="Garamond" w:hAnsi="Garamond" w:cs="Times New Roman"/>
          <w:b/>
          <w:bCs/>
        </w:rPr>
        <w:t>Mr Keith Victor Grech</w:t>
      </w:r>
      <w:r w:rsidR="00B35988" w:rsidRPr="00074847">
        <w:rPr>
          <w:rFonts w:ascii="Garamond" w:hAnsi="Garamond" w:cs="Times New Roman"/>
          <w:b/>
          <w:bCs/>
        </w:rPr>
        <w:tab/>
      </w:r>
      <w:r w:rsidR="00683110" w:rsidRPr="00074847">
        <w:rPr>
          <w:rFonts w:ascii="Garamond" w:hAnsi="Garamond" w:cs="Times New Roman"/>
          <w:b/>
          <w:bCs/>
        </w:rPr>
        <w:tab/>
        <w:t xml:space="preserve">Mr </w:t>
      </w:r>
      <w:r w:rsidR="00074847" w:rsidRPr="00074847">
        <w:rPr>
          <w:rFonts w:ascii="Garamond" w:hAnsi="Garamond" w:cs="Times New Roman"/>
          <w:b/>
          <w:bCs/>
        </w:rPr>
        <w:t>Lawrence Ancilleri</w:t>
      </w:r>
    </w:p>
    <w:p w14:paraId="7972B7BE" w14:textId="1A94587B" w:rsidR="00A54BCB" w:rsidRPr="0013092B" w:rsidRDefault="00A54BCB" w:rsidP="00493BB5">
      <w:pPr>
        <w:spacing w:after="0" w:line="240" w:lineRule="auto"/>
        <w:jc w:val="both"/>
        <w:rPr>
          <w:rFonts w:ascii="Garamond" w:hAnsi="Garamond" w:cs="Times New Roman"/>
        </w:rPr>
      </w:pPr>
      <w:r w:rsidRPr="00074847">
        <w:rPr>
          <w:rFonts w:ascii="Garamond" w:hAnsi="Garamond" w:cs="Times New Roman"/>
          <w:b/>
          <w:bCs/>
        </w:rPr>
        <w:t xml:space="preserve">Chairman </w:t>
      </w:r>
      <w:r w:rsidRPr="00074847">
        <w:rPr>
          <w:rFonts w:ascii="Garamond" w:hAnsi="Garamond" w:cs="Times New Roman"/>
          <w:b/>
          <w:bCs/>
        </w:rPr>
        <w:tab/>
      </w:r>
      <w:r w:rsidRPr="00074847">
        <w:rPr>
          <w:rFonts w:ascii="Garamond" w:hAnsi="Garamond" w:cs="Times New Roman"/>
          <w:b/>
          <w:bCs/>
        </w:rPr>
        <w:tab/>
      </w:r>
      <w:r w:rsidRPr="00074847">
        <w:rPr>
          <w:rFonts w:ascii="Garamond" w:hAnsi="Garamond" w:cs="Times New Roman"/>
          <w:b/>
          <w:bCs/>
        </w:rPr>
        <w:tab/>
        <w:t>Member</w:t>
      </w:r>
      <w:r w:rsidRPr="00074847">
        <w:rPr>
          <w:rFonts w:ascii="Garamond" w:hAnsi="Garamond" w:cs="Times New Roman"/>
          <w:b/>
          <w:bCs/>
        </w:rPr>
        <w:tab/>
      </w:r>
      <w:r w:rsidRPr="00074847">
        <w:rPr>
          <w:rFonts w:ascii="Garamond" w:hAnsi="Garamond" w:cs="Times New Roman"/>
          <w:b/>
          <w:bCs/>
        </w:rPr>
        <w:tab/>
      </w:r>
      <w:r w:rsidRPr="00074847">
        <w:rPr>
          <w:rFonts w:ascii="Garamond" w:hAnsi="Garamond" w:cs="Times New Roman"/>
          <w:b/>
          <w:bCs/>
        </w:rPr>
        <w:tab/>
      </w:r>
      <w:proofErr w:type="spellStart"/>
      <w:r w:rsidRPr="00074847">
        <w:rPr>
          <w:rFonts w:ascii="Garamond" w:hAnsi="Garamond" w:cs="Times New Roman"/>
          <w:b/>
          <w:bCs/>
        </w:rPr>
        <w:t>Member</w:t>
      </w:r>
      <w:proofErr w:type="spellEnd"/>
    </w:p>
    <w:sectPr w:rsidR="00A54BCB" w:rsidRPr="0013092B" w:rsidSect="00E83CA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F1209" w14:textId="77777777" w:rsidR="00C84C06" w:rsidRDefault="00C84C06" w:rsidP="00CD5AB1">
      <w:pPr>
        <w:spacing w:after="0" w:line="240" w:lineRule="auto"/>
      </w:pPr>
      <w:r>
        <w:separator/>
      </w:r>
    </w:p>
  </w:endnote>
  <w:endnote w:type="continuationSeparator" w:id="0">
    <w:p w14:paraId="53EA877C" w14:textId="77777777" w:rsidR="00C84C06" w:rsidRDefault="00C84C06" w:rsidP="00CD5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837704"/>
      <w:docPartObj>
        <w:docPartGallery w:val="Page Numbers (Bottom of Page)"/>
        <w:docPartUnique/>
      </w:docPartObj>
    </w:sdtPr>
    <w:sdtContent>
      <w:p w14:paraId="53E9506B" w14:textId="145A54C9" w:rsidR="00CD5AB1" w:rsidRDefault="00CD5AB1">
        <w:pPr>
          <w:pStyle w:val="Footer"/>
          <w:jc w:val="right"/>
        </w:pPr>
        <w:r>
          <w:fldChar w:fldCharType="begin"/>
        </w:r>
        <w:r>
          <w:instrText xml:space="preserve"> PAGE   \* MERGEFORMAT </w:instrText>
        </w:r>
        <w:r>
          <w:fldChar w:fldCharType="separate"/>
        </w:r>
        <w:r>
          <w:t>2</w:t>
        </w:r>
        <w:r>
          <w:fldChar w:fldCharType="end"/>
        </w:r>
      </w:p>
    </w:sdtContent>
  </w:sdt>
  <w:p w14:paraId="56A69C42" w14:textId="77777777" w:rsidR="00CD5AB1" w:rsidRDefault="00CD5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F6A1" w14:textId="77777777" w:rsidR="00C84C06" w:rsidRDefault="00C84C06" w:rsidP="00CD5AB1">
      <w:pPr>
        <w:spacing w:after="0" w:line="240" w:lineRule="auto"/>
      </w:pPr>
      <w:r>
        <w:separator/>
      </w:r>
    </w:p>
  </w:footnote>
  <w:footnote w:type="continuationSeparator" w:id="0">
    <w:p w14:paraId="320F8DD3" w14:textId="77777777" w:rsidR="00C84C06" w:rsidRDefault="00C84C06" w:rsidP="00CD5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A1BF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0150F"/>
    <w:multiLevelType w:val="multilevel"/>
    <w:tmpl w:val="4E0C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E6DEF"/>
    <w:multiLevelType w:val="hybridMultilevel"/>
    <w:tmpl w:val="A7F042E8"/>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2E6C02"/>
    <w:multiLevelType w:val="hybridMultilevel"/>
    <w:tmpl w:val="8996C9FC"/>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E40884"/>
    <w:multiLevelType w:val="hybridMultilevel"/>
    <w:tmpl w:val="89FC141C"/>
    <w:lvl w:ilvl="0" w:tplc="E0941262">
      <w:start w:val="1"/>
      <w:numFmt w:val="lowerLetter"/>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847B3"/>
    <w:multiLevelType w:val="multilevel"/>
    <w:tmpl w:val="DE6C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4B5C1C"/>
    <w:multiLevelType w:val="multilevel"/>
    <w:tmpl w:val="E67E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AB01F3"/>
    <w:multiLevelType w:val="hybridMultilevel"/>
    <w:tmpl w:val="65F60CFC"/>
    <w:lvl w:ilvl="0" w:tplc="20000017">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7B970E0"/>
    <w:multiLevelType w:val="multilevel"/>
    <w:tmpl w:val="2CD0A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EE5AD5"/>
    <w:multiLevelType w:val="hybridMultilevel"/>
    <w:tmpl w:val="95461902"/>
    <w:lvl w:ilvl="0" w:tplc="E948F240">
      <w:start w:val="1"/>
      <w:numFmt w:val="lowerLetter"/>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1125652">
    <w:abstractNumId w:val="7"/>
  </w:num>
  <w:num w:numId="2" w16cid:durableId="223875398">
    <w:abstractNumId w:val="6"/>
  </w:num>
  <w:num w:numId="3" w16cid:durableId="1007826048">
    <w:abstractNumId w:val="1"/>
  </w:num>
  <w:num w:numId="4" w16cid:durableId="1251770198">
    <w:abstractNumId w:val="5"/>
  </w:num>
  <w:num w:numId="5" w16cid:durableId="1587570515">
    <w:abstractNumId w:val="8"/>
  </w:num>
  <w:num w:numId="6" w16cid:durableId="1055470014">
    <w:abstractNumId w:val="9"/>
  </w:num>
  <w:num w:numId="7" w16cid:durableId="66996629">
    <w:abstractNumId w:val="4"/>
  </w:num>
  <w:num w:numId="8" w16cid:durableId="1411924209">
    <w:abstractNumId w:val="3"/>
  </w:num>
  <w:num w:numId="9" w16cid:durableId="996373825">
    <w:abstractNumId w:val="2"/>
  </w:num>
  <w:num w:numId="10" w16cid:durableId="147980656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DB"/>
    <w:rsid w:val="00000FC6"/>
    <w:rsid w:val="00003DD5"/>
    <w:rsid w:val="000043C7"/>
    <w:rsid w:val="00004CA6"/>
    <w:rsid w:val="000053EC"/>
    <w:rsid w:val="00007678"/>
    <w:rsid w:val="00007EE0"/>
    <w:rsid w:val="00010A56"/>
    <w:rsid w:val="000127AA"/>
    <w:rsid w:val="00013CBD"/>
    <w:rsid w:val="000147CD"/>
    <w:rsid w:val="00014C24"/>
    <w:rsid w:val="000152D5"/>
    <w:rsid w:val="000210AE"/>
    <w:rsid w:val="00022879"/>
    <w:rsid w:val="00022B82"/>
    <w:rsid w:val="000236BE"/>
    <w:rsid w:val="000236C0"/>
    <w:rsid w:val="000247B0"/>
    <w:rsid w:val="00027349"/>
    <w:rsid w:val="000274F8"/>
    <w:rsid w:val="0003262A"/>
    <w:rsid w:val="00033420"/>
    <w:rsid w:val="0003404B"/>
    <w:rsid w:val="000344F5"/>
    <w:rsid w:val="00034507"/>
    <w:rsid w:val="000353D2"/>
    <w:rsid w:val="000405F0"/>
    <w:rsid w:val="00040F52"/>
    <w:rsid w:val="000419C6"/>
    <w:rsid w:val="00042413"/>
    <w:rsid w:val="00042B95"/>
    <w:rsid w:val="0004659D"/>
    <w:rsid w:val="0004766B"/>
    <w:rsid w:val="0004783E"/>
    <w:rsid w:val="00047D94"/>
    <w:rsid w:val="000502C9"/>
    <w:rsid w:val="00051689"/>
    <w:rsid w:val="00054207"/>
    <w:rsid w:val="00060B6A"/>
    <w:rsid w:val="0006234D"/>
    <w:rsid w:val="00062755"/>
    <w:rsid w:val="00063BC2"/>
    <w:rsid w:val="00063D59"/>
    <w:rsid w:val="0006416A"/>
    <w:rsid w:val="000651D9"/>
    <w:rsid w:val="000738F8"/>
    <w:rsid w:val="00073FA0"/>
    <w:rsid w:val="00074847"/>
    <w:rsid w:val="00074A46"/>
    <w:rsid w:val="00075FA0"/>
    <w:rsid w:val="000760A3"/>
    <w:rsid w:val="000772CA"/>
    <w:rsid w:val="00077483"/>
    <w:rsid w:val="00077C5B"/>
    <w:rsid w:val="00080613"/>
    <w:rsid w:val="00080699"/>
    <w:rsid w:val="00080973"/>
    <w:rsid w:val="00083635"/>
    <w:rsid w:val="00084627"/>
    <w:rsid w:val="00085E1B"/>
    <w:rsid w:val="00091256"/>
    <w:rsid w:val="00093454"/>
    <w:rsid w:val="00094704"/>
    <w:rsid w:val="00095C32"/>
    <w:rsid w:val="00095DBE"/>
    <w:rsid w:val="00095FB3"/>
    <w:rsid w:val="000A1FCF"/>
    <w:rsid w:val="000A27E6"/>
    <w:rsid w:val="000A2979"/>
    <w:rsid w:val="000A3561"/>
    <w:rsid w:val="000A35F4"/>
    <w:rsid w:val="000A3D8C"/>
    <w:rsid w:val="000A3FB3"/>
    <w:rsid w:val="000A4CBD"/>
    <w:rsid w:val="000A5473"/>
    <w:rsid w:val="000A6805"/>
    <w:rsid w:val="000A7365"/>
    <w:rsid w:val="000B00CE"/>
    <w:rsid w:val="000B16B5"/>
    <w:rsid w:val="000B2787"/>
    <w:rsid w:val="000B28CA"/>
    <w:rsid w:val="000B426D"/>
    <w:rsid w:val="000B4519"/>
    <w:rsid w:val="000B4B69"/>
    <w:rsid w:val="000B55C8"/>
    <w:rsid w:val="000C0444"/>
    <w:rsid w:val="000C0AE8"/>
    <w:rsid w:val="000C1301"/>
    <w:rsid w:val="000C2094"/>
    <w:rsid w:val="000C4F5A"/>
    <w:rsid w:val="000D1C21"/>
    <w:rsid w:val="000D6145"/>
    <w:rsid w:val="000D6DF0"/>
    <w:rsid w:val="000E39AA"/>
    <w:rsid w:val="000E6D3A"/>
    <w:rsid w:val="000E7E19"/>
    <w:rsid w:val="000F1CD3"/>
    <w:rsid w:val="000F2FCF"/>
    <w:rsid w:val="000F4A95"/>
    <w:rsid w:val="000F4B64"/>
    <w:rsid w:val="000F5A8A"/>
    <w:rsid w:val="000F7C78"/>
    <w:rsid w:val="00100503"/>
    <w:rsid w:val="00101050"/>
    <w:rsid w:val="00101441"/>
    <w:rsid w:val="00102A32"/>
    <w:rsid w:val="00103A1F"/>
    <w:rsid w:val="001101B8"/>
    <w:rsid w:val="00110445"/>
    <w:rsid w:val="0011580E"/>
    <w:rsid w:val="001215B0"/>
    <w:rsid w:val="00121E9C"/>
    <w:rsid w:val="00122654"/>
    <w:rsid w:val="00122F6B"/>
    <w:rsid w:val="001232D6"/>
    <w:rsid w:val="0012361C"/>
    <w:rsid w:val="00123912"/>
    <w:rsid w:val="00123987"/>
    <w:rsid w:val="00125EC6"/>
    <w:rsid w:val="001273D0"/>
    <w:rsid w:val="001308EC"/>
    <w:rsid w:val="0013092B"/>
    <w:rsid w:val="00130DC9"/>
    <w:rsid w:val="00131EA7"/>
    <w:rsid w:val="00132158"/>
    <w:rsid w:val="00132330"/>
    <w:rsid w:val="0013244E"/>
    <w:rsid w:val="00135181"/>
    <w:rsid w:val="00135C45"/>
    <w:rsid w:val="001362FF"/>
    <w:rsid w:val="00137410"/>
    <w:rsid w:val="00137D17"/>
    <w:rsid w:val="00143051"/>
    <w:rsid w:val="00143744"/>
    <w:rsid w:val="00143ACF"/>
    <w:rsid w:val="00144E4F"/>
    <w:rsid w:val="00144FAE"/>
    <w:rsid w:val="00145C2F"/>
    <w:rsid w:val="0014665E"/>
    <w:rsid w:val="00146DF7"/>
    <w:rsid w:val="00147F44"/>
    <w:rsid w:val="001513D2"/>
    <w:rsid w:val="0015186C"/>
    <w:rsid w:val="00153EDD"/>
    <w:rsid w:val="00154C12"/>
    <w:rsid w:val="00154FAE"/>
    <w:rsid w:val="00156524"/>
    <w:rsid w:val="0015714F"/>
    <w:rsid w:val="00157CF2"/>
    <w:rsid w:val="00162B17"/>
    <w:rsid w:val="0016523A"/>
    <w:rsid w:val="00165D75"/>
    <w:rsid w:val="00165F71"/>
    <w:rsid w:val="00166D50"/>
    <w:rsid w:val="00167406"/>
    <w:rsid w:val="00171B09"/>
    <w:rsid w:val="0017256A"/>
    <w:rsid w:val="0017624F"/>
    <w:rsid w:val="0017635B"/>
    <w:rsid w:val="00180468"/>
    <w:rsid w:val="001815A8"/>
    <w:rsid w:val="00182239"/>
    <w:rsid w:val="001829BE"/>
    <w:rsid w:val="0019011A"/>
    <w:rsid w:val="00191F75"/>
    <w:rsid w:val="00192AC1"/>
    <w:rsid w:val="00192D55"/>
    <w:rsid w:val="00195394"/>
    <w:rsid w:val="00195997"/>
    <w:rsid w:val="00197115"/>
    <w:rsid w:val="00197E97"/>
    <w:rsid w:val="001A07C5"/>
    <w:rsid w:val="001A288A"/>
    <w:rsid w:val="001A2B71"/>
    <w:rsid w:val="001A30F4"/>
    <w:rsid w:val="001A611C"/>
    <w:rsid w:val="001A6234"/>
    <w:rsid w:val="001A723C"/>
    <w:rsid w:val="001A736A"/>
    <w:rsid w:val="001B187E"/>
    <w:rsid w:val="001B192A"/>
    <w:rsid w:val="001B2EB9"/>
    <w:rsid w:val="001B36A6"/>
    <w:rsid w:val="001B3BCB"/>
    <w:rsid w:val="001B4674"/>
    <w:rsid w:val="001B682A"/>
    <w:rsid w:val="001C719E"/>
    <w:rsid w:val="001C760B"/>
    <w:rsid w:val="001D137D"/>
    <w:rsid w:val="001D2EED"/>
    <w:rsid w:val="001D3AAB"/>
    <w:rsid w:val="001D47DF"/>
    <w:rsid w:val="001D4815"/>
    <w:rsid w:val="001D5217"/>
    <w:rsid w:val="001D54E8"/>
    <w:rsid w:val="001D608F"/>
    <w:rsid w:val="001D7369"/>
    <w:rsid w:val="001E02BB"/>
    <w:rsid w:val="001E09E3"/>
    <w:rsid w:val="001E21CB"/>
    <w:rsid w:val="001E26FC"/>
    <w:rsid w:val="001E5BD9"/>
    <w:rsid w:val="001E65CD"/>
    <w:rsid w:val="001E788B"/>
    <w:rsid w:val="001E7E58"/>
    <w:rsid w:val="001F039E"/>
    <w:rsid w:val="001F0D68"/>
    <w:rsid w:val="001F2E24"/>
    <w:rsid w:val="001F4D22"/>
    <w:rsid w:val="001F51BD"/>
    <w:rsid w:val="001F6638"/>
    <w:rsid w:val="001F7235"/>
    <w:rsid w:val="002006B2"/>
    <w:rsid w:val="00205356"/>
    <w:rsid w:val="002101EB"/>
    <w:rsid w:val="002105B0"/>
    <w:rsid w:val="00214B15"/>
    <w:rsid w:val="0021673C"/>
    <w:rsid w:val="00217522"/>
    <w:rsid w:val="00220F05"/>
    <w:rsid w:val="002211F2"/>
    <w:rsid w:val="002226AC"/>
    <w:rsid w:val="00222ACA"/>
    <w:rsid w:val="00222C7B"/>
    <w:rsid w:val="0022386C"/>
    <w:rsid w:val="00223FAB"/>
    <w:rsid w:val="002247B0"/>
    <w:rsid w:val="00230E71"/>
    <w:rsid w:val="002316AB"/>
    <w:rsid w:val="00232AC4"/>
    <w:rsid w:val="00233545"/>
    <w:rsid w:val="00234A03"/>
    <w:rsid w:val="002351CF"/>
    <w:rsid w:val="00240443"/>
    <w:rsid w:val="002427A5"/>
    <w:rsid w:val="0024372A"/>
    <w:rsid w:val="002438CD"/>
    <w:rsid w:val="002457CB"/>
    <w:rsid w:val="00245901"/>
    <w:rsid w:val="00247D0B"/>
    <w:rsid w:val="00250D25"/>
    <w:rsid w:val="0025464D"/>
    <w:rsid w:val="00254E6C"/>
    <w:rsid w:val="00255EBB"/>
    <w:rsid w:val="00257109"/>
    <w:rsid w:val="00257CBF"/>
    <w:rsid w:val="002611B2"/>
    <w:rsid w:val="00262B0A"/>
    <w:rsid w:val="00262B1A"/>
    <w:rsid w:val="00264728"/>
    <w:rsid w:val="002659C2"/>
    <w:rsid w:val="0026614B"/>
    <w:rsid w:val="00266FD0"/>
    <w:rsid w:val="00271845"/>
    <w:rsid w:val="00274626"/>
    <w:rsid w:val="00275152"/>
    <w:rsid w:val="00275217"/>
    <w:rsid w:val="00282383"/>
    <w:rsid w:val="00282AB3"/>
    <w:rsid w:val="00282CAC"/>
    <w:rsid w:val="002839F6"/>
    <w:rsid w:val="0028426C"/>
    <w:rsid w:val="002845C2"/>
    <w:rsid w:val="00285693"/>
    <w:rsid w:val="0028714E"/>
    <w:rsid w:val="00290A4D"/>
    <w:rsid w:val="002910F4"/>
    <w:rsid w:val="00292820"/>
    <w:rsid w:val="00293F78"/>
    <w:rsid w:val="0029442C"/>
    <w:rsid w:val="002960B0"/>
    <w:rsid w:val="00296869"/>
    <w:rsid w:val="00297F2A"/>
    <w:rsid w:val="002A0092"/>
    <w:rsid w:val="002A0416"/>
    <w:rsid w:val="002A1256"/>
    <w:rsid w:val="002A30E9"/>
    <w:rsid w:val="002A4A35"/>
    <w:rsid w:val="002A53E4"/>
    <w:rsid w:val="002B19B2"/>
    <w:rsid w:val="002B2B3B"/>
    <w:rsid w:val="002B340F"/>
    <w:rsid w:val="002C0666"/>
    <w:rsid w:val="002C193F"/>
    <w:rsid w:val="002C2851"/>
    <w:rsid w:val="002C427B"/>
    <w:rsid w:val="002C4D10"/>
    <w:rsid w:val="002C6BD1"/>
    <w:rsid w:val="002C7B48"/>
    <w:rsid w:val="002D05BA"/>
    <w:rsid w:val="002D0846"/>
    <w:rsid w:val="002D1073"/>
    <w:rsid w:val="002D14E9"/>
    <w:rsid w:val="002D1B6A"/>
    <w:rsid w:val="002D2EFC"/>
    <w:rsid w:val="002D34D8"/>
    <w:rsid w:val="002D3736"/>
    <w:rsid w:val="002D403E"/>
    <w:rsid w:val="002D4F86"/>
    <w:rsid w:val="002D5308"/>
    <w:rsid w:val="002D571E"/>
    <w:rsid w:val="002D5FE5"/>
    <w:rsid w:val="002D6499"/>
    <w:rsid w:val="002D65F6"/>
    <w:rsid w:val="002D69E9"/>
    <w:rsid w:val="002E0DCC"/>
    <w:rsid w:val="002E1A8E"/>
    <w:rsid w:val="002E3E69"/>
    <w:rsid w:val="002E408B"/>
    <w:rsid w:val="002E40C2"/>
    <w:rsid w:val="002E463C"/>
    <w:rsid w:val="002E5F3A"/>
    <w:rsid w:val="002E6A4E"/>
    <w:rsid w:val="002F043D"/>
    <w:rsid w:val="002F053E"/>
    <w:rsid w:val="002F09BF"/>
    <w:rsid w:val="002F1985"/>
    <w:rsid w:val="002F1AC9"/>
    <w:rsid w:val="002F2A2D"/>
    <w:rsid w:val="002F2B87"/>
    <w:rsid w:val="0030251A"/>
    <w:rsid w:val="003046EC"/>
    <w:rsid w:val="00304753"/>
    <w:rsid w:val="003077C9"/>
    <w:rsid w:val="00310A4C"/>
    <w:rsid w:val="00311E2A"/>
    <w:rsid w:val="00312D0C"/>
    <w:rsid w:val="00312F4C"/>
    <w:rsid w:val="00314EFC"/>
    <w:rsid w:val="00317036"/>
    <w:rsid w:val="00317FD3"/>
    <w:rsid w:val="00321AC7"/>
    <w:rsid w:val="003221B1"/>
    <w:rsid w:val="00323EE3"/>
    <w:rsid w:val="00325A75"/>
    <w:rsid w:val="00326E0C"/>
    <w:rsid w:val="00327EE2"/>
    <w:rsid w:val="0033079F"/>
    <w:rsid w:val="003309E8"/>
    <w:rsid w:val="00330FFD"/>
    <w:rsid w:val="00332722"/>
    <w:rsid w:val="00333A7E"/>
    <w:rsid w:val="003355AB"/>
    <w:rsid w:val="00335CCA"/>
    <w:rsid w:val="00337D7D"/>
    <w:rsid w:val="0034309B"/>
    <w:rsid w:val="003437BD"/>
    <w:rsid w:val="00344FE9"/>
    <w:rsid w:val="00345647"/>
    <w:rsid w:val="00351566"/>
    <w:rsid w:val="00354323"/>
    <w:rsid w:val="003600A9"/>
    <w:rsid w:val="00360622"/>
    <w:rsid w:val="00361AD4"/>
    <w:rsid w:val="003631A7"/>
    <w:rsid w:val="00363DA3"/>
    <w:rsid w:val="00364660"/>
    <w:rsid w:val="003666A9"/>
    <w:rsid w:val="00370152"/>
    <w:rsid w:val="00373020"/>
    <w:rsid w:val="00373AEA"/>
    <w:rsid w:val="00375C88"/>
    <w:rsid w:val="003764F2"/>
    <w:rsid w:val="003768FE"/>
    <w:rsid w:val="00377003"/>
    <w:rsid w:val="0038009E"/>
    <w:rsid w:val="00381C44"/>
    <w:rsid w:val="00382F25"/>
    <w:rsid w:val="003850FA"/>
    <w:rsid w:val="00387855"/>
    <w:rsid w:val="003907DE"/>
    <w:rsid w:val="003950C6"/>
    <w:rsid w:val="00395106"/>
    <w:rsid w:val="00397722"/>
    <w:rsid w:val="003A0698"/>
    <w:rsid w:val="003A0EE5"/>
    <w:rsid w:val="003A2A98"/>
    <w:rsid w:val="003A2F6B"/>
    <w:rsid w:val="003A303E"/>
    <w:rsid w:val="003A4AE0"/>
    <w:rsid w:val="003A5357"/>
    <w:rsid w:val="003A53B6"/>
    <w:rsid w:val="003B0157"/>
    <w:rsid w:val="003B02B6"/>
    <w:rsid w:val="003B0E4F"/>
    <w:rsid w:val="003B0FBB"/>
    <w:rsid w:val="003B217A"/>
    <w:rsid w:val="003B23D5"/>
    <w:rsid w:val="003B24A4"/>
    <w:rsid w:val="003B384F"/>
    <w:rsid w:val="003B478E"/>
    <w:rsid w:val="003B5AE0"/>
    <w:rsid w:val="003B614B"/>
    <w:rsid w:val="003B71C5"/>
    <w:rsid w:val="003B7A54"/>
    <w:rsid w:val="003C2043"/>
    <w:rsid w:val="003C2D4D"/>
    <w:rsid w:val="003C34DD"/>
    <w:rsid w:val="003C3D50"/>
    <w:rsid w:val="003C3D70"/>
    <w:rsid w:val="003C714C"/>
    <w:rsid w:val="003D093E"/>
    <w:rsid w:val="003D2137"/>
    <w:rsid w:val="003D5489"/>
    <w:rsid w:val="003D6B07"/>
    <w:rsid w:val="003E28FB"/>
    <w:rsid w:val="003E29A8"/>
    <w:rsid w:val="003E2D1C"/>
    <w:rsid w:val="003E3C0A"/>
    <w:rsid w:val="003E448D"/>
    <w:rsid w:val="003E57F8"/>
    <w:rsid w:val="003E5968"/>
    <w:rsid w:val="003F0109"/>
    <w:rsid w:val="003F0F28"/>
    <w:rsid w:val="003F3268"/>
    <w:rsid w:val="003F3E42"/>
    <w:rsid w:val="003F494D"/>
    <w:rsid w:val="003F4C14"/>
    <w:rsid w:val="003F66D7"/>
    <w:rsid w:val="003F7308"/>
    <w:rsid w:val="00400837"/>
    <w:rsid w:val="00400B90"/>
    <w:rsid w:val="004059C1"/>
    <w:rsid w:val="00412381"/>
    <w:rsid w:val="004148AC"/>
    <w:rsid w:val="00414922"/>
    <w:rsid w:val="00415806"/>
    <w:rsid w:val="00415F2C"/>
    <w:rsid w:val="00420169"/>
    <w:rsid w:val="0042284D"/>
    <w:rsid w:val="00425C74"/>
    <w:rsid w:val="00426C56"/>
    <w:rsid w:val="00427965"/>
    <w:rsid w:val="00427ADD"/>
    <w:rsid w:val="00427CBB"/>
    <w:rsid w:val="00433AD6"/>
    <w:rsid w:val="00434035"/>
    <w:rsid w:val="00434BE4"/>
    <w:rsid w:val="00436C44"/>
    <w:rsid w:val="00437C76"/>
    <w:rsid w:val="00437E0F"/>
    <w:rsid w:val="00440360"/>
    <w:rsid w:val="00442929"/>
    <w:rsid w:val="00443C02"/>
    <w:rsid w:val="004445CA"/>
    <w:rsid w:val="00444669"/>
    <w:rsid w:val="00444E35"/>
    <w:rsid w:val="00447405"/>
    <w:rsid w:val="00450DE3"/>
    <w:rsid w:val="00453310"/>
    <w:rsid w:val="0045498C"/>
    <w:rsid w:val="00454A00"/>
    <w:rsid w:val="0045569D"/>
    <w:rsid w:val="004556DA"/>
    <w:rsid w:val="004559B7"/>
    <w:rsid w:val="0045608D"/>
    <w:rsid w:val="004574A8"/>
    <w:rsid w:val="00457549"/>
    <w:rsid w:val="00457B87"/>
    <w:rsid w:val="00457D18"/>
    <w:rsid w:val="00460538"/>
    <w:rsid w:val="0046060F"/>
    <w:rsid w:val="0046089C"/>
    <w:rsid w:val="004657C3"/>
    <w:rsid w:val="00473086"/>
    <w:rsid w:val="00474374"/>
    <w:rsid w:val="00476B9D"/>
    <w:rsid w:val="004838D7"/>
    <w:rsid w:val="00485CA8"/>
    <w:rsid w:val="004867A8"/>
    <w:rsid w:val="0048691D"/>
    <w:rsid w:val="004906EE"/>
    <w:rsid w:val="00490C0B"/>
    <w:rsid w:val="0049163B"/>
    <w:rsid w:val="00493BB5"/>
    <w:rsid w:val="00497175"/>
    <w:rsid w:val="004A0BC9"/>
    <w:rsid w:val="004A0CFF"/>
    <w:rsid w:val="004A2CAB"/>
    <w:rsid w:val="004B2D31"/>
    <w:rsid w:val="004B3862"/>
    <w:rsid w:val="004B438A"/>
    <w:rsid w:val="004B5E47"/>
    <w:rsid w:val="004B607C"/>
    <w:rsid w:val="004B638A"/>
    <w:rsid w:val="004C2A55"/>
    <w:rsid w:val="004C4B0A"/>
    <w:rsid w:val="004C574E"/>
    <w:rsid w:val="004C66C8"/>
    <w:rsid w:val="004C75A6"/>
    <w:rsid w:val="004D3CA8"/>
    <w:rsid w:val="004D4932"/>
    <w:rsid w:val="004D5897"/>
    <w:rsid w:val="004D5B41"/>
    <w:rsid w:val="004D7ADE"/>
    <w:rsid w:val="004E15CE"/>
    <w:rsid w:val="004E1A75"/>
    <w:rsid w:val="004E5169"/>
    <w:rsid w:val="004F145F"/>
    <w:rsid w:val="004F183E"/>
    <w:rsid w:val="004F27E0"/>
    <w:rsid w:val="004F2DDB"/>
    <w:rsid w:val="004F3431"/>
    <w:rsid w:val="004F3790"/>
    <w:rsid w:val="004F4F90"/>
    <w:rsid w:val="004F4FB7"/>
    <w:rsid w:val="004F5C59"/>
    <w:rsid w:val="004F5D06"/>
    <w:rsid w:val="004F5EC5"/>
    <w:rsid w:val="004F6D18"/>
    <w:rsid w:val="004F7636"/>
    <w:rsid w:val="004F7749"/>
    <w:rsid w:val="00500C45"/>
    <w:rsid w:val="005027D8"/>
    <w:rsid w:val="00502B2A"/>
    <w:rsid w:val="00502EAD"/>
    <w:rsid w:val="00505D43"/>
    <w:rsid w:val="00505E3C"/>
    <w:rsid w:val="00506FE1"/>
    <w:rsid w:val="005105C8"/>
    <w:rsid w:val="00510B63"/>
    <w:rsid w:val="00512389"/>
    <w:rsid w:val="00515475"/>
    <w:rsid w:val="00516672"/>
    <w:rsid w:val="00516F5E"/>
    <w:rsid w:val="00517F54"/>
    <w:rsid w:val="00520E88"/>
    <w:rsid w:val="0052114A"/>
    <w:rsid w:val="005224C0"/>
    <w:rsid w:val="00525467"/>
    <w:rsid w:val="00525DF2"/>
    <w:rsid w:val="00530578"/>
    <w:rsid w:val="00532B6A"/>
    <w:rsid w:val="00533C0A"/>
    <w:rsid w:val="00533F1C"/>
    <w:rsid w:val="00535B98"/>
    <w:rsid w:val="00535F51"/>
    <w:rsid w:val="00536FE5"/>
    <w:rsid w:val="00540C89"/>
    <w:rsid w:val="00545910"/>
    <w:rsid w:val="00547A99"/>
    <w:rsid w:val="0055012E"/>
    <w:rsid w:val="005520C5"/>
    <w:rsid w:val="00552BE3"/>
    <w:rsid w:val="00552ECD"/>
    <w:rsid w:val="005554F7"/>
    <w:rsid w:val="005603DE"/>
    <w:rsid w:val="0056040B"/>
    <w:rsid w:val="00560C2A"/>
    <w:rsid w:val="00561690"/>
    <w:rsid w:val="005636B3"/>
    <w:rsid w:val="00564A22"/>
    <w:rsid w:val="00564D45"/>
    <w:rsid w:val="00565103"/>
    <w:rsid w:val="00565CF4"/>
    <w:rsid w:val="0056799C"/>
    <w:rsid w:val="00570C61"/>
    <w:rsid w:val="00570F93"/>
    <w:rsid w:val="0057148F"/>
    <w:rsid w:val="00571A59"/>
    <w:rsid w:val="00574126"/>
    <w:rsid w:val="00574A33"/>
    <w:rsid w:val="0057622B"/>
    <w:rsid w:val="005807CC"/>
    <w:rsid w:val="00580E6C"/>
    <w:rsid w:val="005824AE"/>
    <w:rsid w:val="00583338"/>
    <w:rsid w:val="0058337F"/>
    <w:rsid w:val="005838AB"/>
    <w:rsid w:val="0058430F"/>
    <w:rsid w:val="00584E69"/>
    <w:rsid w:val="00584EE4"/>
    <w:rsid w:val="00585A32"/>
    <w:rsid w:val="005913E9"/>
    <w:rsid w:val="00592286"/>
    <w:rsid w:val="00592DA2"/>
    <w:rsid w:val="00597900"/>
    <w:rsid w:val="005A0CB6"/>
    <w:rsid w:val="005A5727"/>
    <w:rsid w:val="005A63A5"/>
    <w:rsid w:val="005A68EA"/>
    <w:rsid w:val="005B1EAF"/>
    <w:rsid w:val="005B2050"/>
    <w:rsid w:val="005B26A3"/>
    <w:rsid w:val="005B337C"/>
    <w:rsid w:val="005B33F6"/>
    <w:rsid w:val="005B50C5"/>
    <w:rsid w:val="005B5F7B"/>
    <w:rsid w:val="005B62DE"/>
    <w:rsid w:val="005B637C"/>
    <w:rsid w:val="005C0465"/>
    <w:rsid w:val="005C1D1D"/>
    <w:rsid w:val="005C3DE1"/>
    <w:rsid w:val="005C7DB5"/>
    <w:rsid w:val="005C7F95"/>
    <w:rsid w:val="005D1B9C"/>
    <w:rsid w:val="005D389C"/>
    <w:rsid w:val="005D48B4"/>
    <w:rsid w:val="005D5452"/>
    <w:rsid w:val="005D5CE5"/>
    <w:rsid w:val="005D6DA5"/>
    <w:rsid w:val="005E052F"/>
    <w:rsid w:val="005E4829"/>
    <w:rsid w:val="005E488C"/>
    <w:rsid w:val="005E4D4A"/>
    <w:rsid w:val="005E57B3"/>
    <w:rsid w:val="005E5D06"/>
    <w:rsid w:val="005E6559"/>
    <w:rsid w:val="005F2003"/>
    <w:rsid w:val="005F2EE6"/>
    <w:rsid w:val="005F3CD8"/>
    <w:rsid w:val="005F662E"/>
    <w:rsid w:val="005F6E59"/>
    <w:rsid w:val="005F7A0F"/>
    <w:rsid w:val="00601373"/>
    <w:rsid w:val="006020FD"/>
    <w:rsid w:val="00602BC9"/>
    <w:rsid w:val="0060533F"/>
    <w:rsid w:val="00606245"/>
    <w:rsid w:val="00610D20"/>
    <w:rsid w:val="006121E2"/>
    <w:rsid w:val="006157D3"/>
    <w:rsid w:val="00616916"/>
    <w:rsid w:val="00616E38"/>
    <w:rsid w:val="00620488"/>
    <w:rsid w:val="00621FBB"/>
    <w:rsid w:val="00622950"/>
    <w:rsid w:val="006239E6"/>
    <w:rsid w:val="00626E36"/>
    <w:rsid w:val="00637E7B"/>
    <w:rsid w:val="00641D66"/>
    <w:rsid w:val="00643DE9"/>
    <w:rsid w:val="00645FF2"/>
    <w:rsid w:val="0064748C"/>
    <w:rsid w:val="0064749E"/>
    <w:rsid w:val="0064784C"/>
    <w:rsid w:val="00653C5B"/>
    <w:rsid w:val="00657564"/>
    <w:rsid w:val="0066085B"/>
    <w:rsid w:val="006616E0"/>
    <w:rsid w:val="00664282"/>
    <w:rsid w:val="006648AF"/>
    <w:rsid w:val="00664A64"/>
    <w:rsid w:val="006673A0"/>
    <w:rsid w:val="00667401"/>
    <w:rsid w:val="0067113C"/>
    <w:rsid w:val="00671AB3"/>
    <w:rsid w:val="00671AF8"/>
    <w:rsid w:val="0067391F"/>
    <w:rsid w:val="00673B75"/>
    <w:rsid w:val="006761AC"/>
    <w:rsid w:val="00682078"/>
    <w:rsid w:val="00682F40"/>
    <w:rsid w:val="00683110"/>
    <w:rsid w:val="00693897"/>
    <w:rsid w:val="00693E1F"/>
    <w:rsid w:val="0069412D"/>
    <w:rsid w:val="00695898"/>
    <w:rsid w:val="00696710"/>
    <w:rsid w:val="00697099"/>
    <w:rsid w:val="0069737B"/>
    <w:rsid w:val="006A041E"/>
    <w:rsid w:val="006A05C3"/>
    <w:rsid w:val="006A0DDF"/>
    <w:rsid w:val="006A238D"/>
    <w:rsid w:val="006A4037"/>
    <w:rsid w:val="006A6AFE"/>
    <w:rsid w:val="006A74C9"/>
    <w:rsid w:val="006B0F50"/>
    <w:rsid w:val="006B4C94"/>
    <w:rsid w:val="006B66F6"/>
    <w:rsid w:val="006C06C6"/>
    <w:rsid w:val="006C0764"/>
    <w:rsid w:val="006C244E"/>
    <w:rsid w:val="006C297A"/>
    <w:rsid w:val="006C30BC"/>
    <w:rsid w:val="006C4733"/>
    <w:rsid w:val="006C4A44"/>
    <w:rsid w:val="006C764B"/>
    <w:rsid w:val="006C779B"/>
    <w:rsid w:val="006D082B"/>
    <w:rsid w:val="006D235D"/>
    <w:rsid w:val="006D2444"/>
    <w:rsid w:val="006D45E1"/>
    <w:rsid w:val="006D78ED"/>
    <w:rsid w:val="006D7FF9"/>
    <w:rsid w:val="006E09C1"/>
    <w:rsid w:val="006E3542"/>
    <w:rsid w:val="006E448E"/>
    <w:rsid w:val="006E5C27"/>
    <w:rsid w:val="006E6869"/>
    <w:rsid w:val="006E7228"/>
    <w:rsid w:val="006F0067"/>
    <w:rsid w:val="006F0562"/>
    <w:rsid w:val="006F207A"/>
    <w:rsid w:val="006F2244"/>
    <w:rsid w:val="006F2361"/>
    <w:rsid w:val="006F24AD"/>
    <w:rsid w:val="006F25C6"/>
    <w:rsid w:val="006F33B5"/>
    <w:rsid w:val="006F643D"/>
    <w:rsid w:val="006F65D6"/>
    <w:rsid w:val="006F6C72"/>
    <w:rsid w:val="00701F5D"/>
    <w:rsid w:val="007024B5"/>
    <w:rsid w:val="007035AA"/>
    <w:rsid w:val="00704A11"/>
    <w:rsid w:val="00705A98"/>
    <w:rsid w:val="00705AF5"/>
    <w:rsid w:val="00705EC2"/>
    <w:rsid w:val="00706215"/>
    <w:rsid w:val="007067DE"/>
    <w:rsid w:val="0070699D"/>
    <w:rsid w:val="00711F17"/>
    <w:rsid w:val="00712530"/>
    <w:rsid w:val="00712FCF"/>
    <w:rsid w:val="007144B0"/>
    <w:rsid w:val="007168B6"/>
    <w:rsid w:val="0071699C"/>
    <w:rsid w:val="00717DCB"/>
    <w:rsid w:val="00720B8C"/>
    <w:rsid w:val="007210F6"/>
    <w:rsid w:val="00722537"/>
    <w:rsid w:val="007227BC"/>
    <w:rsid w:val="007241F5"/>
    <w:rsid w:val="00724D16"/>
    <w:rsid w:val="007252D8"/>
    <w:rsid w:val="0072549B"/>
    <w:rsid w:val="007272F8"/>
    <w:rsid w:val="0073248A"/>
    <w:rsid w:val="00735888"/>
    <w:rsid w:val="00736289"/>
    <w:rsid w:val="0073655A"/>
    <w:rsid w:val="00736DA0"/>
    <w:rsid w:val="0074031E"/>
    <w:rsid w:val="00740BF3"/>
    <w:rsid w:val="00741074"/>
    <w:rsid w:val="007430FA"/>
    <w:rsid w:val="007443EB"/>
    <w:rsid w:val="0074611C"/>
    <w:rsid w:val="00746D17"/>
    <w:rsid w:val="007479EE"/>
    <w:rsid w:val="007509F5"/>
    <w:rsid w:val="00752868"/>
    <w:rsid w:val="00753A5D"/>
    <w:rsid w:val="0075482D"/>
    <w:rsid w:val="00756B74"/>
    <w:rsid w:val="00757374"/>
    <w:rsid w:val="007576EC"/>
    <w:rsid w:val="00763AEF"/>
    <w:rsid w:val="00763D6D"/>
    <w:rsid w:val="007649B0"/>
    <w:rsid w:val="00764D80"/>
    <w:rsid w:val="007709ED"/>
    <w:rsid w:val="00771BAF"/>
    <w:rsid w:val="007747EF"/>
    <w:rsid w:val="0077528E"/>
    <w:rsid w:val="00775F04"/>
    <w:rsid w:val="00776F8E"/>
    <w:rsid w:val="007800B3"/>
    <w:rsid w:val="00782378"/>
    <w:rsid w:val="007858B1"/>
    <w:rsid w:val="00785FBF"/>
    <w:rsid w:val="00786EF8"/>
    <w:rsid w:val="007929AA"/>
    <w:rsid w:val="00793989"/>
    <w:rsid w:val="00793BF4"/>
    <w:rsid w:val="00794D0B"/>
    <w:rsid w:val="0079641C"/>
    <w:rsid w:val="00797E7D"/>
    <w:rsid w:val="007A3D94"/>
    <w:rsid w:val="007A4DE3"/>
    <w:rsid w:val="007A62A2"/>
    <w:rsid w:val="007A6540"/>
    <w:rsid w:val="007A7B14"/>
    <w:rsid w:val="007B061E"/>
    <w:rsid w:val="007B2DB0"/>
    <w:rsid w:val="007B2DDF"/>
    <w:rsid w:val="007C494B"/>
    <w:rsid w:val="007C4DA9"/>
    <w:rsid w:val="007C4E97"/>
    <w:rsid w:val="007C69F7"/>
    <w:rsid w:val="007C6E1E"/>
    <w:rsid w:val="007D12CD"/>
    <w:rsid w:val="007D206C"/>
    <w:rsid w:val="007D2C82"/>
    <w:rsid w:val="007D322C"/>
    <w:rsid w:val="007D72EB"/>
    <w:rsid w:val="007E0E40"/>
    <w:rsid w:val="007E1EEA"/>
    <w:rsid w:val="007E2B27"/>
    <w:rsid w:val="007E34C5"/>
    <w:rsid w:val="007E3942"/>
    <w:rsid w:val="007E42B6"/>
    <w:rsid w:val="007E475F"/>
    <w:rsid w:val="007E4C0F"/>
    <w:rsid w:val="007E70CD"/>
    <w:rsid w:val="007F0386"/>
    <w:rsid w:val="007F12C4"/>
    <w:rsid w:val="007F1B62"/>
    <w:rsid w:val="007F3AF4"/>
    <w:rsid w:val="007F4895"/>
    <w:rsid w:val="007F5616"/>
    <w:rsid w:val="007F6D42"/>
    <w:rsid w:val="007F7645"/>
    <w:rsid w:val="007F78AB"/>
    <w:rsid w:val="007F7C8E"/>
    <w:rsid w:val="007F7E9A"/>
    <w:rsid w:val="008001DB"/>
    <w:rsid w:val="00800E9E"/>
    <w:rsid w:val="0080158B"/>
    <w:rsid w:val="008114B3"/>
    <w:rsid w:val="00812865"/>
    <w:rsid w:val="0081396A"/>
    <w:rsid w:val="00813B14"/>
    <w:rsid w:val="008154F3"/>
    <w:rsid w:val="00815B17"/>
    <w:rsid w:val="008163F3"/>
    <w:rsid w:val="00816AB6"/>
    <w:rsid w:val="00816CDD"/>
    <w:rsid w:val="008208C4"/>
    <w:rsid w:val="00822A16"/>
    <w:rsid w:val="0082314E"/>
    <w:rsid w:val="00823371"/>
    <w:rsid w:val="008237BA"/>
    <w:rsid w:val="008249CA"/>
    <w:rsid w:val="008262C7"/>
    <w:rsid w:val="00827C30"/>
    <w:rsid w:val="008302AE"/>
    <w:rsid w:val="00831960"/>
    <w:rsid w:val="00834389"/>
    <w:rsid w:val="0083671F"/>
    <w:rsid w:val="00842B6A"/>
    <w:rsid w:val="00844E44"/>
    <w:rsid w:val="00845590"/>
    <w:rsid w:val="0085249A"/>
    <w:rsid w:val="0085527A"/>
    <w:rsid w:val="00855A60"/>
    <w:rsid w:val="00856074"/>
    <w:rsid w:val="00856F8B"/>
    <w:rsid w:val="00857009"/>
    <w:rsid w:val="0085714C"/>
    <w:rsid w:val="00857B4E"/>
    <w:rsid w:val="00857EFE"/>
    <w:rsid w:val="00862205"/>
    <w:rsid w:val="008646BA"/>
    <w:rsid w:val="008647D1"/>
    <w:rsid w:val="008656DC"/>
    <w:rsid w:val="00865CAC"/>
    <w:rsid w:val="00867700"/>
    <w:rsid w:val="00872830"/>
    <w:rsid w:val="0087306D"/>
    <w:rsid w:val="00873A9A"/>
    <w:rsid w:val="00874A02"/>
    <w:rsid w:val="00875DEE"/>
    <w:rsid w:val="00880C3E"/>
    <w:rsid w:val="00881138"/>
    <w:rsid w:val="008814B3"/>
    <w:rsid w:val="00881F47"/>
    <w:rsid w:val="008823CD"/>
    <w:rsid w:val="008840BD"/>
    <w:rsid w:val="00884649"/>
    <w:rsid w:val="0088558E"/>
    <w:rsid w:val="00886BEA"/>
    <w:rsid w:val="00887CB6"/>
    <w:rsid w:val="00892582"/>
    <w:rsid w:val="00892AB6"/>
    <w:rsid w:val="00893CC6"/>
    <w:rsid w:val="00893EFD"/>
    <w:rsid w:val="008950F6"/>
    <w:rsid w:val="00896954"/>
    <w:rsid w:val="008A1229"/>
    <w:rsid w:val="008A288F"/>
    <w:rsid w:val="008A28B4"/>
    <w:rsid w:val="008A4762"/>
    <w:rsid w:val="008A5AE5"/>
    <w:rsid w:val="008A607B"/>
    <w:rsid w:val="008B01CD"/>
    <w:rsid w:val="008B16F2"/>
    <w:rsid w:val="008B6837"/>
    <w:rsid w:val="008C0378"/>
    <w:rsid w:val="008C2D70"/>
    <w:rsid w:val="008C307D"/>
    <w:rsid w:val="008C3256"/>
    <w:rsid w:val="008C517E"/>
    <w:rsid w:val="008C5B0B"/>
    <w:rsid w:val="008C640C"/>
    <w:rsid w:val="008D0B6E"/>
    <w:rsid w:val="008D1608"/>
    <w:rsid w:val="008D236D"/>
    <w:rsid w:val="008D295C"/>
    <w:rsid w:val="008D2DA7"/>
    <w:rsid w:val="008D3E37"/>
    <w:rsid w:val="008D4740"/>
    <w:rsid w:val="008D52A0"/>
    <w:rsid w:val="008D67C0"/>
    <w:rsid w:val="008E0479"/>
    <w:rsid w:val="008F4473"/>
    <w:rsid w:val="008F6597"/>
    <w:rsid w:val="008F6CEE"/>
    <w:rsid w:val="00900907"/>
    <w:rsid w:val="00900AA2"/>
    <w:rsid w:val="009034A2"/>
    <w:rsid w:val="009046D7"/>
    <w:rsid w:val="0090697C"/>
    <w:rsid w:val="009117D3"/>
    <w:rsid w:val="00911BEE"/>
    <w:rsid w:val="00912C2F"/>
    <w:rsid w:val="009136B8"/>
    <w:rsid w:val="00915407"/>
    <w:rsid w:val="00917C00"/>
    <w:rsid w:val="00922001"/>
    <w:rsid w:val="009229E1"/>
    <w:rsid w:val="00923EFD"/>
    <w:rsid w:val="00926522"/>
    <w:rsid w:val="00926635"/>
    <w:rsid w:val="0092780B"/>
    <w:rsid w:val="009303A6"/>
    <w:rsid w:val="009304B5"/>
    <w:rsid w:val="0093078B"/>
    <w:rsid w:val="009307A0"/>
    <w:rsid w:val="0093117D"/>
    <w:rsid w:val="009314D3"/>
    <w:rsid w:val="00931CAE"/>
    <w:rsid w:val="00932110"/>
    <w:rsid w:val="00932A90"/>
    <w:rsid w:val="00933721"/>
    <w:rsid w:val="00936B35"/>
    <w:rsid w:val="00936F35"/>
    <w:rsid w:val="00937072"/>
    <w:rsid w:val="00937B62"/>
    <w:rsid w:val="009408D8"/>
    <w:rsid w:val="00941035"/>
    <w:rsid w:val="009418DC"/>
    <w:rsid w:val="009426AB"/>
    <w:rsid w:val="009426FA"/>
    <w:rsid w:val="00943C68"/>
    <w:rsid w:val="0094493A"/>
    <w:rsid w:val="00946119"/>
    <w:rsid w:val="00946233"/>
    <w:rsid w:val="009502B0"/>
    <w:rsid w:val="009504C5"/>
    <w:rsid w:val="00952219"/>
    <w:rsid w:val="009523B1"/>
    <w:rsid w:val="00952965"/>
    <w:rsid w:val="00955649"/>
    <w:rsid w:val="0096037B"/>
    <w:rsid w:val="009618F5"/>
    <w:rsid w:val="0096311B"/>
    <w:rsid w:val="0096360E"/>
    <w:rsid w:val="00963FE5"/>
    <w:rsid w:val="009650A0"/>
    <w:rsid w:val="0096704D"/>
    <w:rsid w:val="0097087F"/>
    <w:rsid w:val="0097114B"/>
    <w:rsid w:val="009731F3"/>
    <w:rsid w:val="009819DF"/>
    <w:rsid w:val="009838D0"/>
    <w:rsid w:val="00983BE0"/>
    <w:rsid w:val="00985E0A"/>
    <w:rsid w:val="00987D95"/>
    <w:rsid w:val="00990F5E"/>
    <w:rsid w:val="00991003"/>
    <w:rsid w:val="00991583"/>
    <w:rsid w:val="009915B7"/>
    <w:rsid w:val="00991D11"/>
    <w:rsid w:val="00992972"/>
    <w:rsid w:val="009A60BB"/>
    <w:rsid w:val="009A799C"/>
    <w:rsid w:val="009B2608"/>
    <w:rsid w:val="009B2AAF"/>
    <w:rsid w:val="009B30A8"/>
    <w:rsid w:val="009B4F6F"/>
    <w:rsid w:val="009B6580"/>
    <w:rsid w:val="009B6CE1"/>
    <w:rsid w:val="009B7599"/>
    <w:rsid w:val="009B7827"/>
    <w:rsid w:val="009B79FE"/>
    <w:rsid w:val="009B7ADB"/>
    <w:rsid w:val="009B7EC3"/>
    <w:rsid w:val="009C1371"/>
    <w:rsid w:val="009C27EA"/>
    <w:rsid w:val="009C3181"/>
    <w:rsid w:val="009C31E1"/>
    <w:rsid w:val="009C33BC"/>
    <w:rsid w:val="009C4970"/>
    <w:rsid w:val="009C5811"/>
    <w:rsid w:val="009C70FC"/>
    <w:rsid w:val="009C7D7C"/>
    <w:rsid w:val="009C7FC5"/>
    <w:rsid w:val="009D59D3"/>
    <w:rsid w:val="009E06DF"/>
    <w:rsid w:val="009E279A"/>
    <w:rsid w:val="009E2ADC"/>
    <w:rsid w:val="009E3641"/>
    <w:rsid w:val="009E3A25"/>
    <w:rsid w:val="009E3BA1"/>
    <w:rsid w:val="009E4944"/>
    <w:rsid w:val="009E5362"/>
    <w:rsid w:val="009E5FB6"/>
    <w:rsid w:val="009F044E"/>
    <w:rsid w:val="009F270E"/>
    <w:rsid w:val="009F32B6"/>
    <w:rsid w:val="009F3E6A"/>
    <w:rsid w:val="009F3FEE"/>
    <w:rsid w:val="00A00F8E"/>
    <w:rsid w:val="00A02419"/>
    <w:rsid w:val="00A0305E"/>
    <w:rsid w:val="00A031A5"/>
    <w:rsid w:val="00A04516"/>
    <w:rsid w:val="00A04EE3"/>
    <w:rsid w:val="00A10A22"/>
    <w:rsid w:val="00A10B56"/>
    <w:rsid w:val="00A11CE3"/>
    <w:rsid w:val="00A11DB7"/>
    <w:rsid w:val="00A12FE4"/>
    <w:rsid w:val="00A14693"/>
    <w:rsid w:val="00A16CD6"/>
    <w:rsid w:val="00A22404"/>
    <w:rsid w:val="00A228DC"/>
    <w:rsid w:val="00A22E6A"/>
    <w:rsid w:val="00A235AC"/>
    <w:rsid w:val="00A23BB5"/>
    <w:rsid w:val="00A240CC"/>
    <w:rsid w:val="00A246E1"/>
    <w:rsid w:val="00A24FCB"/>
    <w:rsid w:val="00A27937"/>
    <w:rsid w:val="00A31F8E"/>
    <w:rsid w:val="00A32111"/>
    <w:rsid w:val="00A327E7"/>
    <w:rsid w:val="00A32B33"/>
    <w:rsid w:val="00A3329A"/>
    <w:rsid w:val="00A33C5D"/>
    <w:rsid w:val="00A33F93"/>
    <w:rsid w:val="00A35BB6"/>
    <w:rsid w:val="00A35E94"/>
    <w:rsid w:val="00A37795"/>
    <w:rsid w:val="00A37E2F"/>
    <w:rsid w:val="00A40820"/>
    <w:rsid w:val="00A42251"/>
    <w:rsid w:val="00A42B2B"/>
    <w:rsid w:val="00A43D4A"/>
    <w:rsid w:val="00A43E3D"/>
    <w:rsid w:val="00A45E6B"/>
    <w:rsid w:val="00A46613"/>
    <w:rsid w:val="00A47505"/>
    <w:rsid w:val="00A4760D"/>
    <w:rsid w:val="00A51630"/>
    <w:rsid w:val="00A51751"/>
    <w:rsid w:val="00A53E9A"/>
    <w:rsid w:val="00A54BCB"/>
    <w:rsid w:val="00A55861"/>
    <w:rsid w:val="00A5618A"/>
    <w:rsid w:val="00A56868"/>
    <w:rsid w:val="00A61866"/>
    <w:rsid w:val="00A658FE"/>
    <w:rsid w:val="00A661E6"/>
    <w:rsid w:val="00A66F0A"/>
    <w:rsid w:val="00A67EEF"/>
    <w:rsid w:val="00A72564"/>
    <w:rsid w:val="00A74DC1"/>
    <w:rsid w:val="00A80638"/>
    <w:rsid w:val="00A83A82"/>
    <w:rsid w:val="00A83B65"/>
    <w:rsid w:val="00A8420E"/>
    <w:rsid w:val="00A8620B"/>
    <w:rsid w:val="00A8690F"/>
    <w:rsid w:val="00A879D4"/>
    <w:rsid w:val="00A87D2E"/>
    <w:rsid w:val="00A90187"/>
    <w:rsid w:val="00A9118E"/>
    <w:rsid w:val="00A92B61"/>
    <w:rsid w:val="00A9795B"/>
    <w:rsid w:val="00AA10EB"/>
    <w:rsid w:val="00AA163E"/>
    <w:rsid w:val="00AA3081"/>
    <w:rsid w:val="00AA4FD5"/>
    <w:rsid w:val="00AA5DAA"/>
    <w:rsid w:val="00AA634F"/>
    <w:rsid w:val="00AB2DE6"/>
    <w:rsid w:val="00AB302D"/>
    <w:rsid w:val="00AB41A4"/>
    <w:rsid w:val="00AB47AA"/>
    <w:rsid w:val="00AB5ED3"/>
    <w:rsid w:val="00AB732E"/>
    <w:rsid w:val="00AB738C"/>
    <w:rsid w:val="00AB779D"/>
    <w:rsid w:val="00AC24AE"/>
    <w:rsid w:val="00AC29A7"/>
    <w:rsid w:val="00AC3E47"/>
    <w:rsid w:val="00AC4573"/>
    <w:rsid w:val="00AC4E13"/>
    <w:rsid w:val="00AC5C4D"/>
    <w:rsid w:val="00AC69CF"/>
    <w:rsid w:val="00AC6A7D"/>
    <w:rsid w:val="00AD086D"/>
    <w:rsid w:val="00AD0A40"/>
    <w:rsid w:val="00AD0A7D"/>
    <w:rsid w:val="00AD142E"/>
    <w:rsid w:val="00AD5F15"/>
    <w:rsid w:val="00AD72C2"/>
    <w:rsid w:val="00AD75DD"/>
    <w:rsid w:val="00AE0831"/>
    <w:rsid w:val="00AE21FC"/>
    <w:rsid w:val="00AE233D"/>
    <w:rsid w:val="00AE3DD1"/>
    <w:rsid w:val="00AE42B9"/>
    <w:rsid w:val="00AE5AD3"/>
    <w:rsid w:val="00AF0D24"/>
    <w:rsid w:val="00AF1093"/>
    <w:rsid w:val="00AF132B"/>
    <w:rsid w:val="00AF30A8"/>
    <w:rsid w:val="00AF392D"/>
    <w:rsid w:val="00AF5203"/>
    <w:rsid w:val="00AF598B"/>
    <w:rsid w:val="00AF5A8C"/>
    <w:rsid w:val="00AF6B83"/>
    <w:rsid w:val="00AF7AB7"/>
    <w:rsid w:val="00B0006A"/>
    <w:rsid w:val="00B001A5"/>
    <w:rsid w:val="00B00260"/>
    <w:rsid w:val="00B00C0C"/>
    <w:rsid w:val="00B01C14"/>
    <w:rsid w:val="00B01F30"/>
    <w:rsid w:val="00B02A30"/>
    <w:rsid w:val="00B02CD9"/>
    <w:rsid w:val="00B04BF9"/>
    <w:rsid w:val="00B071F9"/>
    <w:rsid w:val="00B075A1"/>
    <w:rsid w:val="00B076D9"/>
    <w:rsid w:val="00B10C5B"/>
    <w:rsid w:val="00B1151A"/>
    <w:rsid w:val="00B12ED8"/>
    <w:rsid w:val="00B13A44"/>
    <w:rsid w:val="00B14CAC"/>
    <w:rsid w:val="00B160CE"/>
    <w:rsid w:val="00B173E2"/>
    <w:rsid w:val="00B17B89"/>
    <w:rsid w:val="00B17C3B"/>
    <w:rsid w:val="00B215FF"/>
    <w:rsid w:val="00B223E6"/>
    <w:rsid w:val="00B24CD1"/>
    <w:rsid w:val="00B25F0B"/>
    <w:rsid w:val="00B26484"/>
    <w:rsid w:val="00B306A1"/>
    <w:rsid w:val="00B32AC7"/>
    <w:rsid w:val="00B32CD9"/>
    <w:rsid w:val="00B3354F"/>
    <w:rsid w:val="00B33E5A"/>
    <w:rsid w:val="00B348FA"/>
    <w:rsid w:val="00B35988"/>
    <w:rsid w:val="00B35E25"/>
    <w:rsid w:val="00B35F0C"/>
    <w:rsid w:val="00B37F12"/>
    <w:rsid w:val="00B40867"/>
    <w:rsid w:val="00B41671"/>
    <w:rsid w:val="00B42F28"/>
    <w:rsid w:val="00B43BE7"/>
    <w:rsid w:val="00B44F61"/>
    <w:rsid w:val="00B50453"/>
    <w:rsid w:val="00B52FCB"/>
    <w:rsid w:val="00B532E1"/>
    <w:rsid w:val="00B54A61"/>
    <w:rsid w:val="00B54BFF"/>
    <w:rsid w:val="00B63026"/>
    <w:rsid w:val="00B6794A"/>
    <w:rsid w:val="00B71238"/>
    <w:rsid w:val="00B7282D"/>
    <w:rsid w:val="00B74C5B"/>
    <w:rsid w:val="00B755CC"/>
    <w:rsid w:val="00B76DEA"/>
    <w:rsid w:val="00B80830"/>
    <w:rsid w:val="00B80910"/>
    <w:rsid w:val="00B8328A"/>
    <w:rsid w:val="00B83801"/>
    <w:rsid w:val="00B870D5"/>
    <w:rsid w:val="00B879D6"/>
    <w:rsid w:val="00B87C51"/>
    <w:rsid w:val="00B90D6B"/>
    <w:rsid w:val="00B914C2"/>
    <w:rsid w:val="00B9176F"/>
    <w:rsid w:val="00B93251"/>
    <w:rsid w:val="00B93943"/>
    <w:rsid w:val="00B93C93"/>
    <w:rsid w:val="00B9406C"/>
    <w:rsid w:val="00B95CC3"/>
    <w:rsid w:val="00B95DF9"/>
    <w:rsid w:val="00B9710B"/>
    <w:rsid w:val="00B97DD7"/>
    <w:rsid w:val="00BA07E9"/>
    <w:rsid w:val="00BA0BEB"/>
    <w:rsid w:val="00BA0BF2"/>
    <w:rsid w:val="00BA17F4"/>
    <w:rsid w:val="00BA4080"/>
    <w:rsid w:val="00BA4D5F"/>
    <w:rsid w:val="00BA73EE"/>
    <w:rsid w:val="00BB0A34"/>
    <w:rsid w:val="00BB1163"/>
    <w:rsid w:val="00BB6504"/>
    <w:rsid w:val="00BB6E01"/>
    <w:rsid w:val="00BB73DA"/>
    <w:rsid w:val="00BC0550"/>
    <w:rsid w:val="00BC0E36"/>
    <w:rsid w:val="00BC0F6F"/>
    <w:rsid w:val="00BC195A"/>
    <w:rsid w:val="00BC235B"/>
    <w:rsid w:val="00BC25AE"/>
    <w:rsid w:val="00BD1CB1"/>
    <w:rsid w:val="00BD3B7B"/>
    <w:rsid w:val="00BD50A7"/>
    <w:rsid w:val="00BD6B3C"/>
    <w:rsid w:val="00BE0E65"/>
    <w:rsid w:val="00BE1382"/>
    <w:rsid w:val="00BE1CBA"/>
    <w:rsid w:val="00BE2F47"/>
    <w:rsid w:val="00BE3836"/>
    <w:rsid w:val="00BE3A3C"/>
    <w:rsid w:val="00BE4524"/>
    <w:rsid w:val="00BF4A38"/>
    <w:rsid w:val="00BF51A6"/>
    <w:rsid w:val="00BF6820"/>
    <w:rsid w:val="00BF79BC"/>
    <w:rsid w:val="00C00CD5"/>
    <w:rsid w:val="00C00DA1"/>
    <w:rsid w:val="00C010A3"/>
    <w:rsid w:val="00C010B7"/>
    <w:rsid w:val="00C01E74"/>
    <w:rsid w:val="00C074C8"/>
    <w:rsid w:val="00C10A3B"/>
    <w:rsid w:val="00C13797"/>
    <w:rsid w:val="00C13E99"/>
    <w:rsid w:val="00C13EB5"/>
    <w:rsid w:val="00C15628"/>
    <w:rsid w:val="00C23A42"/>
    <w:rsid w:val="00C249CB"/>
    <w:rsid w:val="00C24BEC"/>
    <w:rsid w:val="00C24D87"/>
    <w:rsid w:val="00C255E5"/>
    <w:rsid w:val="00C32C0A"/>
    <w:rsid w:val="00C34E97"/>
    <w:rsid w:val="00C36632"/>
    <w:rsid w:val="00C36A05"/>
    <w:rsid w:val="00C4258E"/>
    <w:rsid w:val="00C43801"/>
    <w:rsid w:val="00C43B1D"/>
    <w:rsid w:val="00C43C70"/>
    <w:rsid w:val="00C44D29"/>
    <w:rsid w:val="00C466A6"/>
    <w:rsid w:val="00C503DE"/>
    <w:rsid w:val="00C52AB4"/>
    <w:rsid w:val="00C5473B"/>
    <w:rsid w:val="00C55D08"/>
    <w:rsid w:val="00C562D9"/>
    <w:rsid w:val="00C563DD"/>
    <w:rsid w:val="00C57218"/>
    <w:rsid w:val="00C6066E"/>
    <w:rsid w:val="00C60C2C"/>
    <w:rsid w:val="00C61835"/>
    <w:rsid w:val="00C62025"/>
    <w:rsid w:val="00C6293E"/>
    <w:rsid w:val="00C6645D"/>
    <w:rsid w:val="00C72CE6"/>
    <w:rsid w:val="00C74D73"/>
    <w:rsid w:val="00C751B3"/>
    <w:rsid w:val="00C755E9"/>
    <w:rsid w:val="00C76E34"/>
    <w:rsid w:val="00C81893"/>
    <w:rsid w:val="00C820E1"/>
    <w:rsid w:val="00C8247F"/>
    <w:rsid w:val="00C83176"/>
    <w:rsid w:val="00C84C06"/>
    <w:rsid w:val="00C90E1E"/>
    <w:rsid w:val="00C94C60"/>
    <w:rsid w:val="00CA277D"/>
    <w:rsid w:val="00CA3752"/>
    <w:rsid w:val="00CA4316"/>
    <w:rsid w:val="00CA541F"/>
    <w:rsid w:val="00CA58E5"/>
    <w:rsid w:val="00CA74A0"/>
    <w:rsid w:val="00CB38CD"/>
    <w:rsid w:val="00CB50AA"/>
    <w:rsid w:val="00CB63AE"/>
    <w:rsid w:val="00CB7365"/>
    <w:rsid w:val="00CC4043"/>
    <w:rsid w:val="00CC5D64"/>
    <w:rsid w:val="00CC6610"/>
    <w:rsid w:val="00CC7069"/>
    <w:rsid w:val="00CC756C"/>
    <w:rsid w:val="00CD0154"/>
    <w:rsid w:val="00CD0570"/>
    <w:rsid w:val="00CD0840"/>
    <w:rsid w:val="00CD093B"/>
    <w:rsid w:val="00CD3423"/>
    <w:rsid w:val="00CD36FA"/>
    <w:rsid w:val="00CD5AB1"/>
    <w:rsid w:val="00CD73EB"/>
    <w:rsid w:val="00CD78D2"/>
    <w:rsid w:val="00CD7A15"/>
    <w:rsid w:val="00CD7D50"/>
    <w:rsid w:val="00CE0684"/>
    <w:rsid w:val="00CE0969"/>
    <w:rsid w:val="00CE1AF8"/>
    <w:rsid w:val="00CE2362"/>
    <w:rsid w:val="00CE24F7"/>
    <w:rsid w:val="00CE2E71"/>
    <w:rsid w:val="00CE4320"/>
    <w:rsid w:val="00CE4435"/>
    <w:rsid w:val="00CE5781"/>
    <w:rsid w:val="00CE7AB3"/>
    <w:rsid w:val="00CF0812"/>
    <w:rsid w:val="00CF202B"/>
    <w:rsid w:val="00CF6B26"/>
    <w:rsid w:val="00CF6EC6"/>
    <w:rsid w:val="00D00D29"/>
    <w:rsid w:val="00D02630"/>
    <w:rsid w:val="00D06223"/>
    <w:rsid w:val="00D07A9C"/>
    <w:rsid w:val="00D1027F"/>
    <w:rsid w:val="00D104A0"/>
    <w:rsid w:val="00D1375C"/>
    <w:rsid w:val="00D146FD"/>
    <w:rsid w:val="00D162D7"/>
    <w:rsid w:val="00D16894"/>
    <w:rsid w:val="00D16AE6"/>
    <w:rsid w:val="00D17C79"/>
    <w:rsid w:val="00D223AB"/>
    <w:rsid w:val="00D225CB"/>
    <w:rsid w:val="00D240A0"/>
    <w:rsid w:val="00D2652E"/>
    <w:rsid w:val="00D26A77"/>
    <w:rsid w:val="00D30CF3"/>
    <w:rsid w:val="00D34625"/>
    <w:rsid w:val="00D34A34"/>
    <w:rsid w:val="00D35E55"/>
    <w:rsid w:val="00D36D75"/>
    <w:rsid w:val="00D45B04"/>
    <w:rsid w:val="00D4666B"/>
    <w:rsid w:val="00D46A56"/>
    <w:rsid w:val="00D479B3"/>
    <w:rsid w:val="00D502B4"/>
    <w:rsid w:val="00D50820"/>
    <w:rsid w:val="00D51511"/>
    <w:rsid w:val="00D52922"/>
    <w:rsid w:val="00D52A4A"/>
    <w:rsid w:val="00D52FCD"/>
    <w:rsid w:val="00D54EDF"/>
    <w:rsid w:val="00D56037"/>
    <w:rsid w:val="00D5613B"/>
    <w:rsid w:val="00D628E1"/>
    <w:rsid w:val="00D63647"/>
    <w:rsid w:val="00D64253"/>
    <w:rsid w:val="00D65414"/>
    <w:rsid w:val="00D67137"/>
    <w:rsid w:val="00D736E1"/>
    <w:rsid w:val="00D73BED"/>
    <w:rsid w:val="00D75E44"/>
    <w:rsid w:val="00D7767B"/>
    <w:rsid w:val="00D83BE7"/>
    <w:rsid w:val="00D84E82"/>
    <w:rsid w:val="00D853A8"/>
    <w:rsid w:val="00D85962"/>
    <w:rsid w:val="00D863C1"/>
    <w:rsid w:val="00D86CD5"/>
    <w:rsid w:val="00D86FCA"/>
    <w:rsid w:val="00D87117"/>
    <w:rsid w:val="00D901BB"/>
    <w:rsid w:val="00D93FE4"/>
    <w:rsid w:val="00D947D9"/>
    <w:rsid w:val="00D96A50"/>
    <w:rsid w:val="00D97E02"/>
    <w:rsid w:val="00DA0714"/>
    <w:rsid w:val="00DA38B9"/>
    <w:rsid w:val="00DA475F"/>
    <w:rsid w:val="00DA4CA6"/>
    <w:rsid w:val="00DA55A1"/>
    <w:rsid w:val="00DA59EF"/>
    <w:rsid w:val="00DA5DD3"/>
    <w:rsid w:val="00DA733C"/>
    <w:rsid w:val="00DB1329"/>
    <w:rsid w:val="00DB2ACB"/>
    <w:rsid w:val="00DB2F2F"/>
    <w:rsid w:val="00DB3C32"/>
    <w:rsid w:val="00DB3DE6"/>
    <w:rsid w:val="00DB4816"/>
    <w:rsid w:val="00DB787D"/>
    <w:rsid w:val="00DB794F"/>
    <w:rsid w:val="00DC041F"/>
    <w:rsid w:val="00DC0D6B"/>
    <w:rsid w:val="00DC29A7"/>
    <w:rsid w:val="00DC3EA1"/>
    <w:rsid w:val="00DC6991"/>
    <w:rsid w:val="00DD0376"/>
    <w:rsid w:val="00DD08E9"/>
    <w:rsid w:val="00DD59E4"/>
    <w:rsid w:val="00DD5D9C"/>
    <w:rsid w:val="00DD63D4"/>
    <w:rsid w:val="00DD6455"/>
    <w:rsid w:val="00DD6F7D"/>
    <w:rsid w:val="00DD79F1"/>
    <w:rsid w:val="00DE1FE2"/>
    <w:rsid w:val="00DE262C"/>
    <w:rsid w:val="00DE2B9A"/>
    <w:rsid w:val="00DE35C0"/>
    <w:rsid w:val="00DE441A"/>
    <w:rsid w:val="00DE49AF"/>
    <w:rsid w:val="00DE7718"/>
    <w:rsid w:val="00DE784A"/>
    <w:rsid w:val="00DF05BF"/>
    <w:rsid w:val="00DF06DD"/>
    <w:rsid w:val="00DF0D37"/>
    <w:rsid w:val="00DF1A7F"/>
    <w:rsid w:val="00DF3D00"/>
    <w:rsid w:val="00DF4EE8"/>
    <w:rsid w:val="00E016CB"/>
    <w:rsid w:val="00E03246"/>
    <w:rsid w:val="00E037DF"/>
    <w:rsid w:val="00E04597"/>
    <w:rsid w:val="00E04C54"/>
    <w:rsid w:val="00E0692B"/>
    <w:rsid w:val="00E07DAD"/>
    <w:rsid w:val="00E11050"/>
    <w:rsid w:val="00E1129D"/>
    <w:rsid w:val="00E12B93"/>
    <w:rsid w:val="00E149BE"/>
    <w:rsid w:val="00E17717"/>
    <w:rsid w:val="00E17ED7"/>
    <w:rsid w:val="00E2111C"/>
    <w:rsid w:val="00E21335"/>
    <w:rsid w:val="00E22301"/>
    <w:rsid w:val="00E22989"/>
    <w:rsid w:val="00E22D04"/>
    <w:rsid w:val="00E24A70"/>
    <w:rsid w:val="00E252AF"/>
    <w:rsid w:val="00E275EA"/>
    <w:rsid w:val="00E301B7"/>
    <w:rsid w:val="00E308AD"/>
    <w:rsid w:val="00E3201E"/>
    <w:rsid w:val="00E330A4"/>
    <w:rsid w:val="00E3322F"/>
    <w:rsid w:val="00E333C9"/>
    <w:rsid w:val="00E335AB"/>
    <w:rsid w:val="00E3479A"/>
    <w:rsid w:val="00E357BF"/>
    <w:rsid w:val="00E42BA2"/>
    <w:rsid w:val="00E44282"/>
    <w:rsid w:val="00E44985"/>
    <w:rsid w:val="00E51C40"/>
    <w:rsid w:val="00E52CE9"/>
    <w:rsid w:val="00E532CE"/>
    <w:rsid w:val="00E53421"/>
    <w:rsid w:val="00E55C0D"/>
    <w:rsid w:val="00E6112C"/>
    <w:rsid w:val="00E61ADA"/>
    <w:rsid w:val="00E61F1D"/>
    <w:rsid w:val="00E6253A"/>
    <w:rsid w:val="00E63C52"/>
    <w:rsid w:val="00E647D1"/>
    <w:rsid w:val="00E64F50"/>
    <w:rsid w:val="00E6781A"/>
    <w:rsid w:val="00E70C5E"/>
    <w:rsid w:val="00E72F74"/>
    <w:rsid w:val="00E73137"/>
    <w:rsid w:val="00E74FD3"/>
    <w:rsid w:val="00E7731C"/>
    <w:rsid w:val="00E80A2C"/>
    <w:rsid w:val="00E81076"/>
    <w:rsid w:val="00E81B19"/>
    <w:rsid w:val="00E83023"/>
    <w:rsid w:val="00E83318"/>
    <w:rsid w:val="00E83375"/>
    <w:rsid w:val="00E83CA4"/>
    <w:rsid w:val="00E90920"/>
    <w:rsid w:val="00E92C04"/>
    <w:rsid w:val="00E93768"/>
    <w:rsid w:val="00E951FB"/>
    <w:rsid w:val="00E97477"/>
    <w:rsid w:val="00E97A39"/>
    <w:rsid w:val="00EA1130"/>
    <w:rsid w:val="00EA1284"/>
    <w:rsid w:val="00EA15D1"/>
    <w:rsid w:val="00EA5920"/>
    <w:rsid w:val="00EA5FCB"/>
    <w:rsid w:val="00EA643A"/>
    <w:rsid w:val="00EA67E3"/>
    <w:rsid w:val="00EB113C"/>
    <w:rsid w:val="00EB1784"/>
    <w:rsid w:val="00EB1F62"/>
    <w:rsid w:val="00EB28B9"/>
    <w:rsid w:val="00EB3CA6"/>
    <w:rsid w:val="00EB3F8C"/>
    <w:rsid w:val="00EB4988"/>
    <w:rsid w:val="00EB5325"/>
    <w:rsid w:val="00EB545E"/>
    <w:rsid w:val="00EB54B5"/>
    <w:rsid w:val="00EB657B"/>
    <w:rsid w:val="00EB6A52"/>
    <w:rsid w:val="00EB73F3"/>
    <w:rsid w:val="00EC257D"/>
    <w:rsid w:val="00EC264F"/>
    <w:rsid w:val="00EC2C9F"/>
    <w:rsid w:val="00EC506F"/>
    <w:rsid w:val="00EC73A7"/>
    <w:rsid w:val="00ED24E8"/>
    <w:rsid w:val="00ED2ECB"/>
    <w:rsid w:val="00ED46F1"/>
    <w:rsid w:val="00ED48DD"/>
    <w:rsid w:val="00ED4977"/>
    <w:rsid w:val="00ED779D"/>
    <w:rsid w:val="00EE33C3"/>
    <w:rsid w:val="00EE4B2B"/>
    <w:rsid w:val="00EE77E6"/>
    <w:rsid w:val="00EE7F9C"/>
    <w:rsid w:val="00EF0550"/>
    <w:rsid w:val="00EF183C"/>
    <w:rsid w:val="00EF2B74"/>
    <w:rsid w:val="00EF3ED0"/>
    <w:rsid w:val="00EF4CDB"/>
    <w:rsid w:val="00EF7166"/>
    <w:rsid w:val="00EF7DD7"/>
    <w:rsid w:val="00F02C11"/>
    <w:rsid w:val="00F02EBA"/>
    <w:rsid w:val="00F03569"/>
    <w:rsid w:val="00F053B9"/>
    <w:rsid w:val="00F05D8F"/>
    <w:rsid w:val="00F06096"/>
    <w:rsid w:val="00F07590"/>
    <w:rsid w:val="00F101D0"/>
    <w:rsid w:val="00F10DC0"/>
    <w:rsid w:val="00F10F22"/>
    <w:rsid w:val="00F1253E"/>
    <w:rsid w:val="00F13FA3"/>
    <w:rsid w:val="00F14994"/>
    <w:rsid w:val="00F15B63"/>
    <w:rsid w:val="00F20FFE"/>
    <w:rsid w:val="00F219E4"/>
    <w:rsid w:val="00F237E1"/>
    <w:rsid w:val="00F24602"/>
    <w:rsid w:val="00F246E7"/>
    <w:rsid w:val="00F26F4F"/>
    <w:rsid w:val="00F27AFB"/>
    <w:rsid w:val="00F36B4B"/>
    <w:rsid w:val="00F40120"/>
    <w:rsid w:val="00F41C7D"/>
    <w:rsid w:val="00F41F58"/>
    <w:rsid w:val="00F4217E"/>
    <w:rsid w:val="00F42639"/>
    <w:rsid w:val="00F42FA2"/>
    <w:rsid w:val="00F442D0"/>
    <w:rsid w:val="00F468ED"/>
    <w:rsid w:val="00F5400C"/>
    <w:rsid w:val="00F6137C"/>
    <w:rsid w:val="00F64567"/>
    <w:rsid w:val="00F64B6E"/>
    <w:rsid w:val="00F65A7F"/>
    <w:rsid w:val="00F66FBF"/>
    <w:rsid w:val="00F704E8"/>
    <w:rsid w:val="00F725DE"/>
    <w:rsid w:val="00F72F22"/>
    <w:rsid w:val="00F73D62"/>
    <w:rsid w:val="00F7409B"/>
    <w:rsid w:val="00F75568"/>
    <w:rsid w:val="00F75FE0"/>
    <w:rsid w:val="00F761A3"/>
    <w:rsid w:val="00F77774"/>
    <w:rsid w:val="00F77CA2"/>
    <w:rsid w:val="00F80F0A"/>
    <w:rsid w:val="00F8136C"/>
    <w:rsid w:val="00F8291C"/>
    <w:rsid w:val="00F84C69"/>
    <w:rsid w:val="00F84CE9"/>
    <w:rsid w:val="00F8521C"/>
    <w:rsid w:val="00F90132"/>
    <w:rsid w:val="00F90659"/>
    <w:rsid w:val="00F91CE1"/>
    <w:rsid w:val="00F95D6F"/>
    <w:rsid w:val="00FA089C"/>
    <w:rsid w:val="00FA0CC8"/>
    <w:rsid w:val="00FA27CD"/>
    <w:rsid w:val="00FA589B"/>
    <w:rsid w:val="00FA63E9"/>
    <w:rsid w:val="00FA786E"/>
    <w:rsid w:val="00FB0546"/>
    <w:rsid w:val="00FB0A2E"/>
    <w:rsid w:val="00FB1571"/>
    <w:rsid w:val="00FB1CEC"/>
    <w:rsid w:val="00FB2763"/>
    <w:rsid w:val="00FB29BC"/>
    <w:rsid w:val="00FB67E9"/>
    <w:rsid w:val="00FB76FB"/>
    <w:rsid w:val="00FC0493"/>
    <w:rsid w:val="00FC15AF"/>
    <w:rsid w:val="00FC188A"/>
    <w:rsid w:val="00FC22A6"/>
    <w:rsid w:val="00FC2718"/>
    <w:rsid w:val="00FC353B"/>
    <w:rsid w:val="00FC4783"/>
    <w:rsid w:val="00FC520B"/>
    <w:rsid w:val="00FC56FC"/>
    <w:rsid w:val="00FC61CD"/>
    <w:rsid w:val="00FC6245"/>
    <w:rsid w:val="00FD26C1"/>
    <w:rsid w:val="00FD2B98"/>
    <w:rsid w:val="00FD7C49"/>
    <w:rsid w:val="00FE23D5"/>
    <w:rsid w:val="00FE2EDB"/>
    <w:rsid w:val="00FE3170"/>
    <w:rsid w:val="00FE3FBA"/>
    <w:rsid w:val="00FE4AD3"/>
    <w:rsid w:val="00FE6748"/>
    <w:rsid w:val="00FF0EA1"/>
    <w:rsid w:val="00FF14A8"/>
    <w:rsid w:val="00FF1959"/>
    <w:rsid w:val="00FF2090"/>
    <w:rsid w:val="00FF3320"/>
    <w:rsid w:val="00FF3B0D"/>
    <w:rsid w:val="00FF6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A43B"/>
  <w15:docId w15:val="{24EAFFF8-6A73-4EF4-9855-7320CD80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416"/>
  </w:style>
  <w:style w:type="paragraph" w:styleId="Heading1">
    <w:name w:val="heading 1"/>
    <w:basedOn w:val="Normal"/>
    <w:next w:val="Normal"/>
    <w:link w:val="Heading1Char"/>
    <w:autoRedefine/>
    <w:uiPriority w:val="9"/>
    <w:qFormat/>
    <w:rsid w:val="00B532E1"/>
    <w:pPr>
      <w:keepNext/>
      <w:keepLines/>
      <w:spacing w:before="480" w:after="0" w:line="276" w:lineRule="auto"/>
      <w:jc w:val="both"/>
      <w:outlineLvl w:val="0"/>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unhideWhenUsed/>
    <w:qFormat/>
    <w:rsid w:val="008840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2E1"/>
    <w:rPr>
      <w:rFonts w:ascii="Times New Roman" w:eastAsiaTheme="majorEastAsia" w:hAnsi="Times New Roman" w:cstheme="majorBidi"/>
      <w:b/>
      <w:bCs/>
      <w:sz w:val="24"/>
      <w:szCs w:val="28"/>
    </w:rPr>
  </w:style>
  <w:style w:type="paragraph" w:styleId="ListParagraph">
    <w:name w:val="List Paragraph"/>
    <w:basedOn w:val="Normal"/>
    <w:uiPriority w:val="34"/>
    <w:qFormat/>
    <w:rsid w:val="00DA59EF"/>
    <w:pPr>
      <w:ind w:left="720"/>
      <w:contextualSpacing/>
    </w:pPr>
  </w:style>
  <w:style w:type="paragraph" w:styleId="BalloonText">
    <w:name w:val="Balloon Text"/>
    <w:basedOn w:val="Normal"/>
    <w:link w:val="BalloonTextChar"/>
    <w:uiPriority w:val="99"/>
    <w:semiHidden/>
    <w:unhideWhenUsed/>
    <w:rsid w:val="002D1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4E9"/>
    <w:rPr>
      <w:rFonts w:ascii="Tahoma" w:hAnsi="Tahoma" w:cs="Tahoma"/>
      <w:noProof/>
      <w:sz w:val="16"/>
      <w:szCs w:val="16"/>
    </w:rPr>
  </w:style>
  <w:style w:type="paragraph" w:styleId="Header">
    <w:name w:val="header"/>
    <w:basedOn w:val="Normal"/>
    <w:link w:val="HeaderChar"/>
    <w:uiPriority w:val="99"/>
    <w:unhideWhenUsed/>
    <w:rsid w:val="00CD5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AB1"/>
    <w:rPr>
      <w:noProof/>
    </w:rPr>
  </w:style>
  <w:style w:type="paragraph" w:styleId="Footer">
    <w:name w:val="footer"/>
    <w:basedOn w:val="Normal"/>
    <w:link w:val="FooterChar"/>
    <w:uiPriority w:val="99"/>
    <w:unhideWhenUsed/>
    <w:rsid w:val="00CD5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AB1"/>
    <w:rPr>
      <w:noProof/>
    </w:rPr>
  </w:style>
  <w:style w:type="character" w:customStyle="1" w:styleId="Heading3Char">
    <w:name w:val="Heading 3 Char"/>
    <w:basedOn w:val="DefaultParagraphFont"/>
    <w:link w:val="Heading3"/>
    <w:uiPriority w:val="9"/>
    <w:rsid w:val="008840BD"/>
    <w:rPr>
      <w:rFonts w:asciiTheme="majorHAnsi" w:eastAsiaTheme="majorEastAsia" w:hAnsiTheme="majorHAnsi" w:cstheme="majorBidi"/>
      <w:color w:val="1F3763" w:themeColor="accent1" w:themeShade="7F"/>
      <w:sz w:val="24"/>
      <w:szCs w:val="24"/>
    </w:rPr>
  </w:style>
  <w:style w:type="paragraph" w:customStyle="1" w:styleId="Default">
    <w:name w:val="Default"/>
    <w:rsid w:val="008E0479"/>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9A9A7-E2B3-44DE-9D9A-E8C6321D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4468</Words>
  <Characters>25469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Swain</dc:creator>
  <cp:lastModifiedBy>Borg Amy at PCRB</cp:lastModifiedBy>
  <cp:revision>2</cp:revision>
  <dcterms:created xsi:type="dcterms:W3CDTF">2025-10-08T07:28:00Z</dcterms:created>
  <dcterms:modified xsi:type="dcterms:W3CDTF">2025-10-08T07:28:00Z</dcterms:modified>
</cp:coreProperties>
</file>